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82" w:rsidRPr="00582069" w:rsidRDefault="00265D73" w:rsidP="0058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11C82" w:rsidRPr="0058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прощена оплата пошлины за предоставление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1C82" w:rsidRPr="0058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сведений из ЕГРН</w:t>
      </w:r>
    </w:p>
    <w:p w:rsidR="00711C82" w:rsidRPr="00AC4C06" w:rsidRDefault="00711C82" w:rsidP="006048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2023 года упрощена процедура оплаты государственной пошлины за предоставление сведений из Единого государственного реестра недвижимости (ЕГРН) при обращении граждан в </w:t>
      </w:r>
      <w:r w:rsidR="00265D73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71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5D7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11C82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для этого т</w:t>
      </w:r>
      <w:r w:rsidR="00604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ребуется одна квитанция.</w:t>
      </w:r>
    </w:p>
    <w:p w:rsidR="00265D73" w:rsidRPr="00711C82" w:rsidRDefault="00265D73" w:rsidP="00265D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изменения вступили в силу</w:t>
      </w:r>
      <w:r w:rsidRPr="0060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C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 ноября 2022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448-ФЗ</w:t>
      </w:r>
      <w:r w:rsidR="00AC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поправок в Бюджетный кодекс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закона разработаны при участии Росреестра и направлены на создание комфортных условий получения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ажданами государственных услуг.</w:t>
      </w:r>
    </w:p>
    <w:p w:rsidR="00265D73" w:rsidRPr="00265D73" w:rsidRDefault="00265D73" w:rsidP="00265D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bCs/>
        </w:rPr>
        <w:t>«</w:t>
      </w:r>
      <w:r w:rsidRPr="00265D73">
        <w:rPr>
          <w:rFonts w:ascii="Times New Roman" w:hAnsi="Times New Roman" w:cs="Times New Roman"/>
          <w:bCs/>
          <w:sz w:val="28"/>
          <w:szCs w:val="28"/>
        </w:rPr>
        <w:t>До принятия закона оплата за предоставление сведений из ЕГРН при обращении в МФЦ производилась двумя квитанциями. С 1 января 2023 года граждане смогут оплачивать данную государственную услугу одним платёжным документом. Это сделает процедуру получения выписок более удобной и быстрой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сократится количество документов и операций, необходимых для получения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госуслуги</w:t>
      </w:r>
      <w:proofErr w:type="spellEnd"/>
      <w:r w:rsidRPr="00265D7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 - подчеркнул руководитель Управления Росреестра по Курганской области Александр Чередниченко.</w:t>
      </w:r>
    </w:p>
    <w:p w:rsidR="00AC4C06" w:rsidRPr="00711C82" w:rsidRDefault="00AC4C06" w:rsidP="00AC4C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напоминаем, что </w:t>
      </w:r>
      <w:r w:rsidRPr="00711C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уплаты госпошлины</w:t>
      </w:r>
      <w:r w:rsidRPr="0071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возможен либо в полном объеме, либо частично в зависимости от ситуации. Так, если заявитель передумал совершать сделку с недвижимостью и не подавал заявление об учетно-регистрационных действиях, пошлина считается излишне уплаченной и подлежит возврату в полном объеме. Также полностью возвращается платеж при возврате документов без рассмотрения. </w:t>
      </w:r>
    </w:p>
    <w:p w:rsidR="00582069" w:rsidRPr="00AC4C06" w:rsidRDefault="00AC4C06" w:rsidP="00AC4C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заявитель принял решение не совершать сделку уже после подачи документов и получил </w:t>
      </w:r>
      <w:r w:rsidRPr="00711C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прекращении регистрационных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он</w:t>
      </w:r>
      <w:r w:rsidRPr="0071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вернуть госпошлину част</w:t>
      </w:r>
      <w:r w:rsidR="008A4B10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 – в размере 50% от оплаты.</w:t>
      </w:r>
      <w:bookmarkStart w:id="0" w:name="_GoBack"/>
      <w:bookmarkEnd w:id="0"/>
    </w:p>
    <w:sectPr w:rsidR="00582069" w:rsidRPr="00AC4C06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68"/>
    <w:rsid w:val="001962C9"/>
    <w:rsid w:val="00265D73"/>
    <w:rsid w:val="00531DC3"/>
    <w:rsid w:val="00582069"/>
    <w:rsid w:val="006048BC"/>
    <w:rsid w:val="00711C82"/>
    <w:rsid w:val="008A4B10"/>
    <w:rsid w:val="00911568"/>
    <w:rsid w:val="00AC4C06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2">
    <w:name w:val="heading 2"/>
    <w:basedOn w:val="a"/>
    <w:link w:val="20"/>
    <w:uiPriority w:val="9"/>
    <w:qFormat/>
    <w:rsid w:val="00711C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1C8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11C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2">
    <w:name w:val="heading 2"/>
    <w:basedOn w:val="a"/>
    <w:link w:val="20"/>
    <w:uiPriority w:val="9"/>
    <w:qFormat/>
    <w:rsid w:val="00711C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1C8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11C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3</cp:revision>
  <dcterms:created xsi:type="dcterms:W3CDTF">2023-01-09T10:01:00Z</dcterms:created>
  <dcterms:modified xsi:type="dcterms:W3CDTF">2023-01-09T10:53:00Z</dcterms:modified>
</cp:coreProperties>
</file>