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1982"/>
      </w:tblGrid>
      <w:tr w:rsidR="008727A1" w:rsidTr="00746EE5">
        <w:trPr>
          <w:trHeight w:val="1148"/>
          <w:jc w:val="center"/>
        </w:trPr>
        <w:tc>
          <w:tcPr>
            <w:tcW w:w="1982" w:type="dxa"/>
            <w:vAlign w:val="bottom"/>
          </w:tcPr>
          <w:p w:rsidR="008727A1" w:rsidRDefault="008727A1" w:rsidP="00746EE5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15645" cy="715645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27A1" w:rsidRDefault="008727A1" w:rsidP="008727A1">
      <w:pPr>
        <w:pStyle w:val="20"/>
        <w:shd w:val="clear" w:color="auto" w:fill="auto"/>
        <w:spacing w:before="0" w:line="240" w:lineRule="auto"/>
        <w:ind w:left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C41DC">
        <w:rPr>
          <w:rFonts w:ascii="Times New Roman" w:hAnsi="Times New Roman"/>
          <w:sz w:val="24"/>
          <w:szCs w:val="24"/>
        </w:rPr>
        <w:t>УРГАНСКАЯ ОБЛАСТЬ</w:t>
      </w:r>
    </w:p>
    <w:p w:rsidR="008727A1" w:rsidRPr="005C41DC" w:rsidRDefault="008727A1" w:rsidP="008727A1">
      <w:pPr>
        <w:pStyle w:val="20"/>
        <w:shd w:val="clear" w:color="auto" w:fill="auto"/>
        <w:spacing w:before="0" w:line="240" w:lineRule="auto"/>
        <w:ind w:left="40"/>
        <w:jc w:val="center"/>
        <w:rPr>
          <w:rFonts w:ascii="Times New Roman" w:hAnsi="Times New Roman"/>
          <w:sz w:val="24"/>
          <w:szCs w:val="24"/>
        </w:rPr>
      </w:pPr>
      <w:r w:rsidRPr="005C41DC">
        <w:rPr>
          <w:rFonts w:ascii="Times New Roman" w:hAnsi="Times New Roman"/>
          <w:sz w:val="24"/>
          <w:szCs w:val="24"/>
        </w:rPr>
        <w:t xml:space="preserve">ЛЕБЯЖЬЕВСКИЙ </w:t>
      </w:r>
      <w:r>
        <w:rPr>
          <w:rFonts w:ascii="Times New Roman" w:hAnsi="Times New Roman"/>
          <w:sz w:val="24"/>
          <w:szCs w:val="24"/>
        </w:rPr>
        <w:t>МУНИЦИПАЛЬНЫЙ ОКРУГ</w:t>
      </w:r>
    </w:p>
    <w:p w:rsidR="008727A1" w:rsidRPr="005C41DC" w:rsidRDefault="008727A1" w:rsidP="008727A1">
      <w:pPr>
        <w:pStyle w:val="20"/>
        <w:shd w:val="clear" w:color="auto" w:fill="auto"/>
        <w:spacing w:before="0" w:after="627" w:line="240" w:lineRule="auto"/>
        <w:ind w:left="40"/>
        <w:jc w:val="center"/>
        <w:rPr>
          <w:rFonts w:ascii="Times New Roman" w:hAnsi="Times New Roman"/>
          <w:sz w:val="24"/>
          <w:szCs w:val="24"/>
        </w:rPr>
      </w:pPr>
      <w:r w:rsidRPr="005C41DC">
        <w:rPr>
          <w:rFonts w:ascii="Times New Roman" w:hAnsi="Times New Roman"/>
          <w:sz w:val="24"/>
          <w:szCs w:val="24"/>
        </w:rPr>
        <w:t xml:space="preserve">АДМИНИСТРАЦИЯ ЛЕБЯЖЬЕВСКОГО </w:t>
      </w:r>
      <w:r>
        <w:rPr>
          <w:rFonts w:ascii="Times New Roman" w:hAnsi="Times New Roman"/>
          <w:sz w:val="24"/>
          <w:szCs w:val="24"/>
        </w:rPr>
        <w:t>МУНИЦИПАЛЬНОГО ОКРУГА</w:t>
      </w:r>
    </w:p>
    <w:p w:rsidR="008727A1" w:rsidRPr="008727A1" w:rsidRDefault="007C4F05" w:rsidP="008727A1">
      <w:pPr>
        <w:pStyle w:val="10"/>
        <w:keepNext/>
        <w:keepLines/>
        <w:shd w:val="clear" w:color="auto" w:fill="auto"/>
        <w:spacing w:before="0" w:after="319" w:line="420" w:lineRule="exact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8727A1" w:rsidRPr="008727A1" w:rsidRDefault="008727A1" w:rsidP="008727A1">
      <w:pPr>
        <w:rPr>
          <w:rStyle w:val="a4"/>
          <w:rFonts w:eastAsia="Arial Unicode MS"/>
        </w:rPr>
      </w:pPr>
      <w:r w:rsidRPr="008727A1">
        <w:rPr>
          <w:rStyle w:val="a4"/>
          <w:rFonts w:eastAsia="Arial Unicode MS"/>
        </w:rPr>
        <w:t>от</w:t>
      </w:r>
      <w:r w:rsidRPr="008727A1">
        <w:rPr>
          <w:rStyle w:val="a4"/>
          <w:rFonts w:eastAsia="Arial Unicode MS"/>
          <w:u w:val="single"/>
        </w:rPr>
        <w:t xml:space="preserve"> </w:t>
      </w:r>
      <w:r w:rsidR="00B66E8C">
        <w:rPr>
          <w:rStyle w:val="a4"/>
          <w:rFonts w:eastAsia="Arial Unicode MS"/>
          <w:u w:val="single"/>
        </w:rPr>
        <w:t xml:space="preserve">18 мая </w:t>
      </w:r>
      <w:r w:rsidRPr="008727A1">
        <w:rPr>
          <w:rStyle w:val="a4"/>
          <w:rFonts w:eastAsia="Arial Unicode MS"/>
        </w:rPr>
        <w:t>2</w:t>
      </w:r>
      <w:r>
        <w:rPr>
          <w:rStyle w:val="a4"/>
          <w:rFonts w:eastAsia="Arial Unicode MS"/>
        </w:rPr>
        <w:t>022</w:t>
      </w:r>
      <w:r w:rsidRPr="008727A1">
        <w:rPr>
          <w:rStyle w:val="a4"/>
          <w:rFonts w:eastAsia="Arial Unicode MS"/>
        </w:rPr>
        <w:t xml:space="preserve"> года № </w:t>
      </w:r>
      <w:r w:rsidR="00B66E8C" w:rsidRPr="00B66E8C">
        <w:rPr>
          <w:rStyle w:val="a4"/>
          <w:rFonts w:eastAsia="Arial Unicode MS"/>
          <w:u w:val="single"/>
        </w:rPr>
        <w:t>140-р</w:t>
      </w:r>
    </w:p>
    <w:p w:rsidR="008727A1" w:rsidRPr="008727A1" w:rsidRDefault="008727A1" w:rsidP="008727A1">
      <w:pPr>
        <w:rPr>
          <w:rFonts w:ascii="Times New Roman" w:hAnsi="Times New Roman" w:cs="Times New Roman"/>
        </w:rPr>
      </w:pPr>
      <w:r w:rsidRPr="008727A1">
        <w:rPr>
          <w:rFonts w:ascii="Times New Roman" w:hAnsi="Times New Roman" w:cs="Times New Roman"/>
        </w:rPr>
        <w:t xml:space="preserve">           р.п. Лебяжье</w:t>
      </w:r>
    </w:p>
    <w:p w:rsidR="008727A1" w:rsidRDefault="008727A1"/>
    <w:p w:rsidR="008727A1" w:rsidRDefault="008727A1"/>
    <w:p w:rsidR="008727A1" w:rsidRPr="008727A1" w:rsidRDefault="008727A1" w:rsidP="008727A1">
      <w:pPr>
        <w:pStyle w:val="40"/>
        <w:shd w:val="clear" w:color="auto" w:fill="auto"/>
        <w:spacing w:after="236"/>
        <w:ind w:left="20"/>
        <w:rPr>
          <w:rFonts w:ascii="Times New Roman" w:hAnsi="Times New Roman" w:cs="Times New Roman"/>
          <w:sz w:val="24"/>
          <w:szCs w:val="24"/>
        </w:rPr>
      </w:pP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 утверждении карты рисков нарушения антимонопольного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законодательства, ключевых показателей и методики расчета ключевых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показателей эффективности функционирования антимонопольного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proofErr w:type="spellStart"/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31C0D" w:rsidRDefault="008727A1" w:rsidP="00431C0D">
      <w:pPr>
        <w:pStyle w:val="20"/>
        <w:shd w:val="clear" w:color="auto" w:fill="auto"/>
        <w:tabs>
          <w:tab w:val="left" w:pos="2142"/>
          <w:tab w:val="left" w:pos="7437"/>
          <w:tab w:val="right" w:pos="9874"/>
        </w:tabs>
        <w:spacing w:before="0"/>
        <w:ind w:firstLine="7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организации системы внутреннего обеспечения соответствия требованиям антимонопольного законодательства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соответствии с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распоряжением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17 мая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22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№ 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135-р</w:t>
      </w: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 утверждении Положения об организации в Администрации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 системы внутреннего обеспечения соответствия антимонопольного законодательства (</w:t>
      </w:r>
      <w:proofErr w:type="gram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антимонопольный</w:t>
      </w:r>
      <w:proofErr w:type="gram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)»</w:t>
      </w:r>
      <w:r w:rsidR="006157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8727A1" w:rsidRPr="008727A1" w:rsidRDefault="008727A1" w:rsidP="00431C0D">
      <w:pPr>
        <w:pStyle w:val="20"/>
        <w:numPr>
          <w:ilvl w:val="0"/>
          <w:numId w:val="5"/>
        </w:numPr>
        <w:shd w:val="clear" w:color="auto" w:fill="auto"/>
        <w:tabs>
          <w:tab w:val="left" w:pos="1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Утвердить:</w:t>
      </w:r>
    </w:p>
    <w:p w:rsidR="008727A1" w:rsidRPr="00431C0D" w:rsidRDefault="008727A1" w:rsidP="00615787">
      <w:pPr>
        <w:pStyle w:val="20"/>
        <w:numPr>
          <w:ilvl w:val="0"/>
          <w:numId w:val="8"/>
        </w:numPr>
        <w:shd w:val="clear" w:color="auto" w:fill="auto"/>
        <w:tabs>
          <w:tab w:val="left" w:pos="1132"/>
        </w:tabs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карту рисков нарушения антимонопольного законодательства в</w:t>
      </w:r>
      <w:r w:rsidR="00431C0D">
        <w:rPr>
          <w:rFonts w:ascii="Times New Roman" w:hAnsi="Times New Roman" w:cs="Times New Roman"/>
          <w:sz w:val="24"/>
          <w:szCs w:val="24"/>
        </w:rPr>
        <w:t xml:space="preserve"> </w:t>
      </w:r>
      <w:r w:rsidR="00431C0D"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согласно</w:t>
      </w:r>
      <w:r w:rsidR="00431C0D">
        <w:rPr>
          <w:rFonts w:ascii="Times New Roman" w:hAnsi="Times New Roman" w:cs="Times New Roman"/>
          <w:sz w:val="24"/>
          <w:szCs w:val="24"/>
        </w:rPr>
        <w:t xml:space="preserve"> </w:t>
      </w:r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приложению 1 к настоящему </w:t>
      </w:r>
      <w:r w:rsidR="00A37C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распоряжению</w:t>
      </w:r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727A1" w:rsidRPr="008727A1" w:rsidRDefault="00615787" w:rsidP="00615787">
      <w:pPr>
        <w:pStyle w:val="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ключевые показатели эффективности функционирования антимонопольного </w:t>
      </w:r>
      <w:proofErr w:type="spellStart"/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согласно приложению 2 к настоящему </w:t>
      </w:r>
      <w:r w:rsidR="00A37C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распоряжению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727A1" w:rsidRPr="008727A1" w:rsidRDefault="00615787" w:rsidP="00615787">
      <w:pPr>
        <w:pStyle w:val="20"/>
        <w:shd w:val="clear" w:color="auto" w:fill="auto"/>
        <w:tabs>
          <w:tab w:val="left" w:pos="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3)  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методику расчета ключевых показателей эффективности</w:t>
      </w:r>
      <w:r w:rsidR="00431C0D">
        <w:rPr>
          <w:rFonts w:ascii="Times New Roman" w:hAnsi="Times New Roman" w:cs="Times New Roman"/>
          <w:sz w:val="24"/>
          <w:szCs w:val="24"/>
        </w:rPr>
        <w:t xml:space="preserve"> </w:t>
      </w:r>
      <w:r w:rsidR="008727A1"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функционировани</w:t>
      </w:r>
      <w:r w:rsidR="00DD1B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 антимонопольного</w:t>
      </w:r>
      <w:r w:rsidR="00DD1B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="00DD1B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="00DD1B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в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согласно приложению 3 к настоящему </w:t>
      </w:r>
      <w:r w:rsidR="00A37C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727A1" w:rsidRPr="00431C0D" w:rsidRDefault="00615787" w:rsidP="00615787">
      <w:pPr>
        <w:pStyle w:val="20"/>
        <w:numPr>
          <w:ilvl w:val="0"/>
          <w:numId w:val="5"/>
        </w:numPr>
        <w:shd w:val="clear" w:color="auto" w:fill="auto"/>
        <w:tabs>
          <w:tab w:val="left" w:pos="1127"/>
        </w:tabs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азместить</w:t>
      </w:r>
      <w:proofErr w:type="gramEnd"/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настоящ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ее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распоряжение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официальном сайте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в</w:t>
      </w:r>
      <w:r w:rsidR="0031114F" w:rsidRP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информационно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="008727A1" w:rsidRPr="008727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8727A1"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телекоммуникационной сети «Интернет».</w:t>
      </w:r>
    </w:p>
    <w:p w:rsidR="008727A1" w:rsidRPr="00615787" w:rsidRDefault="00615787" w:rsidP="00615787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8727A1" w:rsidRPr="00615787">
        <w:rPr>
          <w:rFonts w:ascii="Times New Roman" w:hAnsi="Times New Roman" w:cs="Times New Roman"/>
        </w:rPr>
        <w:t>Контроль за</w:t>
      </w:r>
      <w:proofErr w:type="gramEnd"/>
      <w:r w:rsidR="008727A1" w:rsidRPr="00615787">
        <w:rPr>
          <w:rFonts w:ascii="Times New Roman" w:hAnsi="Times New Roman" w:cs="Times New Roman"/>
        </w:rPr>
        <w:t xml:space="preserve"> </w:t>
      </w:r>
      <w:r w:rsidR="00431C0D" w:rsidRPr="00615787">
        <w:rPr>
          <w:rFonts w:ascii="Times New Roman" w:hAnsi="Times New Roman" w:cs="Times New Roman"/>
        </w:rPr>
        <w:t>вы</w:t>
      </w:r>
      <w:r w:rsidR="008727A1" w:rsidRPr="00615787">
        <w:rPr>
          <w:rFonts w:ascii="Times New Roman" w:hAnsi="Times New Roman" w:cs="Times New Roman"/>
        </w:rPr>
        <w:t xml:space="preserve">полнением настоящего </w:t>
      </w:r>
      <w:r w:rsidR="007C4F05" w:rsidRPr="00615787">
        <w:rPr>
          <w:rFonts w:ascii="Times New Roman" w:hAnsi="Times New Roman" w:cs="Times New Roman"/>
        </w:rPr>
        <w:t>распоряжения</w:t>
      </w:r>
      <w:r w:rsidR="008727A1" w:rsidRPr="00615787">
        <w:rPr>
          <w:rFonts w:ascii="Times New Roman" w:hAnsi="Times New Roman" w:cs="Times New Roman"/>
        </w:rPr>
        <w:t xml:space="preserve"> оставляю за собой</w:t>
      </w:r>
      <w:r w:rsidR="00431C0D" w:rsidRPr="00615787">
        <w:rPr>
          <w:rFonts w:ascii="Times New Roman" w:hAnsi="Times New Roman" w:cs="Times New Roman"/>
        </w:rPr>
        <w:t>.</w:t>
      </w:r>
    </w:p>
    <w:p w:rsidR="00431C0D" w:rsidRDefault="00431C0D" w:rsidP="00431C0D">
      <w:pPr>
        <w:rPr>
          <w:rFonts w:ascii="Times New Roman" w:hAnsi="Times New Roman" w:cs="Times New Roman"/>
        </w:rPr>
      </w:pPr>
    </w:p>
    <w:p w:rsidR="00431C0D" w:rsidRDefault="00431C0D" w:rsidP="00431C0D">
      <w:pPr>
        <w:rPr>
          <w:rFonts w:ascii="Times New Roman" w:hAnsi="Times New Roman" w:cs="Times New Roman"/>
        </w:rPr>
      </w:pPr>
    </w:p>
    <w:p w:rsidR="00431C0D" w:rsidRDefault="00431C0D" w:rsidP="00431C0D">
      <w:pPr>
        <w:rPr>
          <w:rFonts w:ascii="Times New Roman" w:hAnsi="Times New Roman" w:cs="Times New Roman"/>
        </w:rPr>
      </w:pPr>
    </w:p>
    <w:p w:rsidR="00431C0D" w:rsidRPr="00431C0D" w:rsidRDefault="00431C0D" w:rsidP="00431C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Лебяжьевского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                                                     А. Р. БАРЧ</w:t>
      </w:r>
    </w:p>
    <w:p w:rsidR="008727A1" w:rsidRPr="008727A1" w:rsidRDefault="008727A1" w:rsidP="008727A1">
      <w:pPr>
        <w:rPr>
          <w:rFonts w:ascii="Times New Roman" w:hAnsi="Times New Roman" w:cs="Times New Roman"/>
        </w:rPr>
      </w:pPr>
    </w:p>
    <w:p w:rsidR="007C4F05" w:rsidRDefault="007C4F05" w:rsidP="008727A1">
      <w:pPr>
        <w:rPr>
          <w:rFonts w:ascii="Times New Roman" w:hAnsi="Times New Roman" w:cs="Times New Roman"/>
          <w:sz w:val="20"/>
          <w:szCs w:val="20"/>
        </w:rPr>
      </w:pPr>
    </w:p>
    <w:p w:rsidR="007C4F05" w:rsidRDefault="007C4F05" w:rsidP="008727A1">
      <w:pPr>
        <w:rPr>
          <w:rFonts w:ascii="Times New Roman" w:hAnsi="Times New Roman" w:cs="Times New Roman"/>
          <w:sz w:val="20"/>
          <w:szCs w:val="20"/>
        </w:rPr>
      </w:pPr>
    </w:p>
    <w:p w:rsidR="008727A1" w:rsidRDefault="007C4F05" w:rsidP="008727A1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Замятина</w:t>
      </w:r>
    </w:p>
    <w:p w:rsidR="008727A1" w:rsidRPr="007C4F05" w:rsidRDefault="007C4F05" w:rsidP="008727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 97472</w:t>
      </w:r>
    </w:p>
    <w:p w:rsidR="008727A1" w:rsidRDefault="008727A1" w:rsidP="008727A1">
      <w:pPr>
        <w:sectPr w:rsidR="008727A1" w:rsidSect="007C4F05">
          <w:pgSz w:w="11906" w:h="16838"/>
          <w:pgMar w:top="1134" w:right="850" w:bottom="567" w:left="1276" w:header="708" w:footer="708" w:gutter="0"/>
          <w:cols w:space="708"/>
          <w:docGrid w:linePitch="360"/>
        </w:sectPr>
      </w:pPr>
    </w:p>
    <w:p w:rsidR="008727A1" w:rsidRDefault="008727A1" w:rsidP="008727A1">
      <w:pPr>
        <w:pStyle w:val="20"/>
        <w:shd w:val="clear" w:color="auto" w:fill="auto"/>
        <w:tabs>
          <w:tab w:val="left" w:pos="11940"/>
        </w:tabs>
        <w:spacing w:before="0"/>
        <w:ind w:left="9660" w:right="58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1 к 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распоряжению</w:t>
      </w:r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округа</w:t>
      </w:r>
    </w:p>
    <w:p w:rsidR="00072F93" w:rsidRPr="00431C0D" w:rsidRDefault="00072F93" w:rsidP="008727A1">
      <w:pPr>
        <w:pStyle w:val="20"/>
        <w:shd w:val="clear" w:color="auto" w:fill="auto"/>
        <w:tabs>
          <w:tab w:val="left" w:pos="11940"/>
        </w:tabs>
        <w:spacing w:before="0"/>
        <w:ind w:left="9660" w:right="5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B66E8C" w:rsidRPr="00B66E8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18 мая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2022 года  № </w:t>
      </w:r>
      <w:r w:rsidR="00B66E8C" w:rsidRPr="00B66E8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140-р</w:t>
      </w:r>
    </w:p>
    <w:p w:rsidR="008727A1" w:rsidRPr="00431C0D" w:rsidRDefault="008727A1" w:rsidP="008727A1">
      <w:pPr>
        <w:pStyle w:val="20"/>
        <w:shd w:val="clear" w:color="auto" w:fill="auto"/>
        <w:spacing w:before="0" w:after="330"/>
        <w:ind w:left="9660" w:right="580"/>
        <w:jc w:val="left"/>
        <w:rPr>
          <w:rFonts w:ascii="Times New Roman" w:hAnsi="Times New Roman" w:cs="Times New Roman"/>
          <w:sz w:val="24"/>
          <w:szCs w:val="24"/>
        </w:rPr>
      </w:pPr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«Об утверждении карты рисков нарушения антимонопольного законодательства, ключевых показателей и методики расчета ключевых показателей эффективности функционирования антимонопольного </w:t>
      </w:r>
      <w:proofErr w:type="spellStart"/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431C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</w:p>
    <w:p w:rsidR="008727A1" w:rsidRPr="00072F93" w:rsidRDefault="008727A1" w:rsidP="008727A1">
      <w:pPr>
        <w:pStyle w:val="22"/>
        <w:keepNext/>
        <w:keepLines/>
        <w:shd w:val="clear" w:color="auto" w:fill="auto"/>
        <w:spacing w:before="0" w:after="0" w:line="260" w:lineRule="exact"/>
        <w:ind w:right="320" w:firstLine="0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Карта рисков нарушения антимонопольного законодательства</w:t>
      </w:r>
      <w:bookmarkEnd w:id="0"/>
    </w:p>
    <w:p w:rsidR="008727A1" w:rsidRPr="00072F93" w:rsidRDefault="008727A1" w:rsidP="008727A1">
      <w:pPr>
        <w:pStyle w:val="40"/>
        <w:shd w:val="clear" w:color="auto" w:fill="auto"/>
        <w:spacing w:after="0" w:line="260" w:lineRule="exact"/>
        <w:ind w:right="3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431C0D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431C0D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431C0D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</w:p>
    <w:p w:rsidR="00431C0D" w:rsidRPr="00072F93" w:rsidRDefault="00431C0D" w:rsidP="008727A1">
      <w:pPr>
        <w:pStyle w:val="40"/>
        <w:shd w:val="clear" w:color="auto" w:fill="auto"/>
        <w:spacing w:after="0" w:line="260" w:lineRule="exact"/>
        <w:ind w:right="320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1186"/>
        <w:gridCol w:w="4282"/>
        <w:gridCol w:w="3134"/>
        <w:gridCol w:w="3120"/>
        <w:gridCol w:w="1402"/>
        <w:gridCol w:w="1382"/>
      </w:tblGrid>
      <w:tr w:rsidR="008727A1" w:rsidRPr="00072F93" w:rsidTr="00746EE5">
        <w:trPr>
          <w:trHeight w:hRule="exact" w:val="114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line="20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after="60" w:line="200" w:lineRule="exact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риска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Наличие или отсутствие остаточных рисков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Вероятность повторного </w:t>
            </w:r>
            <w:proofErr w:type="spellStart"/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возникновен</w:t>
            </w:r>
            <w:proofErr w:type="spell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рисков</w:t>
            </w:r>
          </w:p>
        </w:tc>
      </w:tr>
      <w:tr w:rsidR="008727A1" w:rsidRPr="00072F93" w:rsidTr="00746EE5">
        <w:trPr>
          <w:trHeight w:hRule="exact" w:val="251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 подготовки и принятия актов, которые могут привести к недопущению, ограничению, устранению конкуренции, иному нарушению антимонопольного законодательства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Текущая деятельность по нормативно-правовому регулированию в установленной сфере деятельности, подготовка, рассмотрение и согласование проектов правовых актов без учета норм Федерального закона от 26 июля 2006 года № 135-ФЗ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Проведение анализа проектов и принятых актов на соответствие требованиям антимонопольного законодательства, внутренний контроль, изучение правоприменительной практики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727A1" w:rsidRPr="00072F93" w:rsidRDefault="008727A1" w:rsidP="008727A1">
      <w:pPr>
        <w:framePr w:w="15038" w:wrap="notBeside" w:vAnchor="text" w:hAnchor="text" w:xAlign="center" w:y="1"/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1200"/>
        <w:gridCol w:w="4272"/>
        <w:gridCol w:w="3139"/>
        <w:gridCol w:w="3110"/>
        <w:gridCol w:w="1406"/>
        <w:gridCol w:w="1397"/>
      </w:tblGrid>
      <w:tr w:rsidR="008727A1" w:rsidRPr="00072F93" w:rsidTr="00746EE5">
        <w:trPr>
          <w:trHeight w:hRule="exact" w:val="11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after="60" w:line="200" w:lineRule="exact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60" w:line="200" w:lineRule="exact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after="60" w:line="200" w:lineRule="exact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риска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Наличие или отсутствие остаточных рисков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Вероятность повторного </w:t>
            </w:r>
            <w:proofErr w:type="spellStart"/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возникновен</w:t>
            </w:r>
            <w:proofErr w:type="spell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рисков</w:t>
            </w:r>
          </w:p>
        </w:tc>
      </w:tr>
      <w:tr w:rsidR="008727A1" w:rsidRPr="00072F93" w:rsidTr="00746EE5">
        <w:trPr>
          <w:trHeight w:hRule="exact" w:val="18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 разглашения работниками служебной информации третьим лицам, которая может быть использована с нарушением требований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Наличие соответствующей служебной информации и доступа к ней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Проведение инструктажей для работников по соблюдению требований по неразглашению служебной информации, внутренний контроль, ограничение в доступе к служебной информации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27A1" w:rsidRPr="00072F93" w:rsidTr="00746EE5">
        <w:trPr>
          <w:trHeight w:hRule="exact" w:val="41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1B1C9D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Риск нарушения антимонопольного законодательства при оказании </w:t>
            </w:r>
            <w:r w:rsidR="001B1C9D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Предъявление требований о предоставлении документов, информации или осуществлении действий, предоставление или осуществление которых не предусмотрено действующим законодательством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государственных услуг строго в соответствии с действующими Административными регламентами по предоставлению </w:t>
            </w:r>
            <w:r w:rsidR="001B1C9D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услуг, проведение мониторинга изменений действующего законодательства в сфере оказания </w:t>
            </w:r>
            <w:r w:rsidR="001B1C9D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услуг в целях своевременного внесения изменений </w:t>
            </w:r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действующие</w:t>
            </w:r>
          </w:p>
          <w:p w:rsidR="008727A1" w:rsidRPr="00072F93" w:rsidRDefault="008727A1" w:rsidP="001B1C9D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Административные регламенты по предоставлению </w:t>
            </w:r>
            <w:r w:rsidR="001B1C9D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27A1" w:rsidRPr="00072F93" w:rsidTr="00746EE5">
        <w:trPr>
          <w:trHeight w:hRule="exact" w:val="16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 нарушения антимонопольного законодательства при оказании поддержки субъектам малого и среднего предпринимательства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072F93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072F93"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по предоставлению мер поддержки субъектов малого и среднего предпринимательства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Оказание мер поддержки субъектов малого и среднего предпринимательства строго в соответствии с Порядком оказания поддержки субъектам малого и среднего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91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727A1" w:rsidRPr="00072F93" w:rsidRDefault="008727A1" w:rsidP="008727A1">
      <w:pPr>
        <w:framePr w:w="15091" w:wrap="notBeside" w:vAnchor="text" w:hAnchor="text" w:xAlign="center" w:y="1"/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186"/>
        <w:gridCol w:w="4282"/>
        <w:gridCol w:w="3125"/>
        <w:gridCol w:w="3110"/>
        <w:gridCol w:w="1411"/>
        <w:gridCol w:w="1378"/>
      </w:tblGrid>
      <w:tr w:rsidR="008727A1" w:rsidRPr="00072F93" w:rsidTr="00746EE5">
        <w:trPr>
          <w:trHeight w:hRule="exact" w:val="114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after="60" w:line="200" w:lineRule="exact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риска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Наличие или отсутствие остаточных рисков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Вероятность повторного </w:t>
            </w:r>
            <w:proofErr w:type="spellStart"/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возникновен</w:t>
            </w:r>
            <w:proofErr w:type="spell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рисков</w:t>
            </w:r>
          </w:p>
        </w:tc>
      </w:tr>
      <w:tr w:rsidR="008727A1" w:rsidRPr="00072F93" w:rsidTr="00746EE5">
        <w:trPr>
          <w:trHeight w:hRule="exact" w:val="36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framePr w:w="150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framePr w:w="150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framePr w:w="150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framePr w:w="150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предпринимательства и организациям, образующим инфраструктуру поддержки субъектов малого и среднего предпринимательства, утвержденным</w:t>
            </w:r>
          </w:p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постановлением Правительства Курганской области от 14 октября 2013 года № 505 «О государственной Программе Курганской области «О развитии и поддержке малого и среднего предпринимательства в Курганской области»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framePr w:w="150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framePr w:w="150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727A1" w:rsidRPr="00072F93" w:rsidTr="00746EE5">
        <w:trPr>
          <w:trHeight w:hRule="exact" w:val="185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 нарушения сроков при рассмотрении обращений физических и юридических лиц, которые могут повлечь за собой нарушения антимонопольного законодательства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072F93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072F93"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, связанная с рассмотрением обращений граждан и организаций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Внутренний </w:t>
            </w:r>
            <w:proofErr w:type="gramStart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соблюдением сроков при рассмотрении обращений граждан и организаций, проведение соответствующих проверок, изучение правоприменительной практики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Риск</w:t>
            </w:r>
          </w:p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7A1" w:rsidRPr="00072F93" w:rsidRDefault="008727A1" w:rsidP="00746EE5">
            <w:pPr>
              <w:pStyle w:val="20"/>
              <w:framePr w:w="15038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</w:tbl>
    <w:p w:rsidR="008727A1" w:rsidRPr="00072F93" w:rsidRDefault="008727A1" w:rsidP="008727A1">
      <w:pPr>
        <w:framePr w:w="15038" w:wrap="notBeside" w:vAnchor="text" w:hAnchor="text" w:xAlign="center" w:y="1"/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p w:rsidR="008727A1" w:rsidRDefault="008727A1" w:rsidP="008727A1">
      <w:pPr>
        <w:sectPr w:rsidR="008727A1" w:rsidSect="008727A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72F93" w:rsidRDefault="008727A1" w:rsidP="008727A1">
      <w:pPr>
        <w:pStyle w:val="20"/>
        <w:shd w:val="clear" w:color="auto" w:fill="auto"/>
        <w:spacing w:before="0" w:line="293" w:lineRule="exact"/>
        <w:ind w:left="510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2 к 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распоряжению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</w:p>
    <w:p w:rsidR="00072F93" w:rsidRDefault="00DD1BE6" w:rsidP="008727A1">
      <w:pPr>
        <w:pStyle w:val="20"/>
        <w:shd w:val="clear" w:color="auto" w:fill="auto"/>
        <w:spacing w:before="0" w:line="293" w:lineRule="exact"/>
        <w:ind w:left="510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 </w:t>
      </w:r>
      <w:r w:rsidR="00B66E8C" w:rsidRPr="00B66E8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18 мая</w:t>
      </w:r>
      <w:r w:rsidR="00B66E8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2022 года № </w:t>
      </w:r>
      <w:r w:rsidR="00B66E8C" w:rsidRPr="00B66E8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140-р</w:t>
      </w:r>
    </w:p>
    <w:p w:rsidR="008727A1" w:rsidRPr="00072F93" w:rsidRDefault="008727A1" w:rsidP="008727A1">
      <w:pPr>
        <w:pStyle w:val="20"/>
        <w:shd w:val="clear" w:color="auto" w:fill="auto"/>
        <w:spacing w:before="0" w:after="836" w:line="293" w:lineRule="exact"/>
        <w:ind w:left="5100"/>
        <w:jc w:val="left"/>
        <w:rPr>
          <w:rFonts w:ascii="Times New Roman" w:hAnsi="Times New Roman" w:cs="Times New Roman"/>
          <w:sz w:val="24"/>
          <w:szCs w:val="24"/>
        </w:rPr>
      </w:pPr>
      <w:r w:rsidRPr="00072F93">
        <w:rPr>
          <w:rStyle w:val="2-1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«Об утверждении карты рисков нарушения антимонопольного законодательства, ключевых показателей и методики расчета ключевых показателей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</w:p>
    <w:p w:rsidR="008727A1" w:rsidRPr="00072F93" w:rsidRDefault="008727A1" w:rsidP="00072F93">
      <w:pPr>
        <w:pStyle w:val="40"/>
        <w:shd w:val="clear" w:color="auto" w:fill="auto"/>
        <w:spacing w:after="244" w:line="298" w:lineRule="exact"/>
        <w:ind w:left="150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Ключевые показатели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</w:p>
    <w:p w:rsidR="008727A1" w:rsidRPr="00072F93" w:rsidRDefault="008727A1" w:rsidP="00072F93">
      <w:pPr>
        <w:pStyle w:val="20"/>
        <w:numPr>
          <w:ilvl w:val="0"/>
          <w:numId w:val="3"/>
        </w:numPr>
        <w:shd w:val="clear" w:color="auto" w:fill="auto"/>
        <w:tabs>
          <w:tab w:val="left" w:pos="1070"/>
        </w:tabs>
        <w:spacing w:before="0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Коэффициент снижения количества нарушений антимонопольного законодательства со стороны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—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по сравнению с предыдущим годом.</w:t>
      </w:r>
    </w:p>
    <w:p w:rsidR="008727A1" w:rsidRPr="00072F93" w:rsidRDefault="008727A1" w:rsidP="008727A1">
      <w:pPr>
        <w:pStyle w:val="20"/>
        <w:numPr>
          <w:ilvl w:val="0"/>
          <w:numId w:val="3"/>
        </w:numPr>
        <w:shd w:val="clear" w:color="auto" w:fill="auto"/>
        <w:tabs>
          <w:tab w:val="left" w:pos="1070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проектов нормативных правовых актов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 которых выявлены риски нарушения антимонопольного законодательства.</w:t>
      </w:r>
    </w:p>
    <w:p w:rsidR="008727A1" w:rsidRPr="00072F93" w:rsidRDefault="008727A1" w:rsidP="008727A1">
      <w:pPr>
        <w:pStyle w:val="20"/>
        <w:numPr>
          <w:ilvl w:val="0"/>
          <w:numId w:val="3"/>
        </w:numPr>
        <w:shd w:val="clear" w:color="auto" w:fill="auto"/>
        <w:tabs>
          <w:tab w:val="left" w:pos="1070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нормативных правовых актов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 которых выявлены риски нарушения антимонопольного законодательства.</w:t>
      </w:r>
    </w:p>
    <w:p w:rsidR="008727A1" w:rsidRDefault="008727A1" w:rsidP="008727A1">
      <w:pPr>
        <w:pStyle w:val="20"/>
        <w:numPr>
          <w:ilvl w:val="0"/>
          <w:numId w:val="3"/>
        </w:numPr>
        <w:shd w:val="clear" w:color="auto" w:fill="auto"/>
        <w:tabs>
          <w:tab w:val="left" w:pos="1070"/>
        </w:tabs>
        <w:spacing w:before="0"/>
        <w:ind w:firstLine="740"/>
        <w:sectPr w:rsidR="008727A1">
          <w:headerReference w:type="default" r:id="rId9"/>
          <w:pgSz w:w="11900" w:h="16840"/>
          <w:pgMar w:top="1679" w:right="515" w:bottom="1679" w:left="1449" w:header="0" w:footer="3" w:gutter="0"/>
          <w:cols w:space="720"/>
          <w:noEndnote/>
          <w:docGrid w:linePitch="360"/>
        </w:sect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сотрудников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отношении которых проведены мероприятия информационного характера по антимонопольному комплексу</w:t>
      </w:r>
      <w:r>
        <w:rPr>
          <w:color w:val="000000"/>
          <w:lang w:eastAsia="ru-RU" w:bidi="ru-RU"/>
        </w:rPr>
        <w:t>.</w:t>
      </w:r>
    </w:p>
    <w:p w:rsidR="00072F93" w:rsidRDefault="008727A1" w:rsidP="00072F93">
      <w:pPr>
        <w:pStyle w:val="20"/>
        <w:shd w:val="clear" w:color="auto" w:fill="auto"/>
        <w:spacing w:before="0"/>
        <w:ind w:left="5100"/>
        <w:jc w:val="left"/>
        <w:rPr>
          <w:rStyle w:val="2-1pt"/>
          <w:rFonts w:ascii="Times New Roman" w:hAnsi="Times New Roman" w:cs="Times New Roman"/>
          <w:sz w:val="24"/>
          <w:szCs w:val="24"/>
          <w:lang w:val="ru-RU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3 к </w:t>
      </w:r>
      <w:r w:rsidR="007C4F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распоряжению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72F93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072F93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иуниципального</w:t>
      </w:r>
      <w:proofErr w:type="spellEnd"/>
      <w:r w:rsidR="00072F93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округа </w:t>
      </w:r>
      <w:r w:rsidRPr="00072F93">
        <w:rPr>
          <w:rStyle w:val="2-1pt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2F93" w:rsidRPr="00B66E8C" w:rsidRDefault="00072F93" w:rsidP="00072F93">
      <w:pPr>
        <w:pStyle w:val="20"/>
        <w:shd w:val="clear" w:color="auto" w:fill="auto"/>
        <w:spacing w:before="0"/>
        <w:ind w:left="5100"/>
        <w:jc w:val="left"/>
        <w:rPr>
          <w:rStyle w:val="2-1pt"/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Style w:val="2-1pt"/>
          <w:rFonts w:ascii="Times New Roman" w:hAnsi="Times New Roman" w:cs="Times New Roman"/>
          <w:i w:val="0"/>
          <w:sz w:val="24"/>
          <w:szCs w:val="24"/>
          <w:u w:val="none"/>
          <w:lang w:val="ru-RU"/>
        </w:rPr>
        <w:t>о</w:t>
      </w:r>
      <w:r w:rsidRPr="00072F93">
        <w:rPr>
          <w:rStyle w:val="2-1pt"/>
          <w:rFonts w:ascii="Times New Roman" w:hAnsi="Times New Roman" w:cs="Times New Roman"/>
          <w:i w:val="0"/>
          <w:sz w:val="24"/>
          <w:szCs w:val="24"/>
          <w:u w:val="none"/>
          <w:lang w:val="ru-RU"/>
        </w:rPr>
        <w:t xml:space="preserve">т </w:t>
      </w:r>
      <w:r w:rsidR="00B66E8C" w:rsidRPr="00B66E8C">
        <w:rPr>
          <w:rStyle w:val="2-1pt"/>
          <w:rFonts w:ascii="Times New Roman" w:hAnsi="Times New Roman" w:cs="Times New Roman"/>
          <w:i w:val="0"/>
          <w:sz w:val="24"/>
          <w:szCs w:val="24"/>
          <w:lang w:val="ru-RU"/>
        </w:rPr>
        <w:t>18 мая</w:t>
      </w:r>
      <w:r w:rsidR="00B66E8C">
        <w:rPr>
          <w:rStyle w:val="2-1pt"/>
          <w:rFonts w:ascii="Times New Roman" w:hAnsi="Times New Roman" w:cs="Times New Roman"/>
          <w:i w:val="0"/>
          <w:sz w:val="24"/>
          <w:szCs w:val="24"/>
          <w:u w:val="none"/>
          <w:lang w:val="ru-RU"/>
        </w:rPr>
        <w:t xml:space="preserve"> </w:t>
      </w:r>
      <w:r w:rsidRPr="00072F93">
        <w:rPr>
          <w:rStyle w:val="2-1pt"/>
          <w:rFonts w:ascii="Times New Roman" w:hAnsi="Times New Roman" w:cs="Times New Roman"/>
          <w:i w:val="0"/>
          <w:sz w:val="24"/>
          <w:szCs w:val="24"/>
          <w:u w:val="none"/>
          <w:lang w:val="ru-RU"/>
        </w:rPr>
        <w:t xml:space="preserve">2022 года  № </w:t>
      </w:r>
      <w:r w:rsidR="00B66E8C" w:rsidRPr="00B66E8C">
        <w:rPr>
          <w:rStyle w:val="2-1pt"/>
          <w:rFonts w:ascii="Times New Roman" w:hAnsi="Times New Roman" w:cs="Times New Roman"/>
          <w:i w:val="0"/>
          <w:sz w:val="24"/>
          <w:szCs w:val="24"/>
          <w:lang w:val="ru-RU"/>
        </w:rPr>
        <w:t>140</w:t>
      </w:r>
      <w:r w:rsidR="00B66E8C">
        <w:rPr>
          <w:rStyle w:val="2-1pt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B66E8C" w:rsidRPr="00B66E8C">
        <w:rPr>
          <w:rStyle w:val="2-1pt"/>
          <w:rFonts w:ascii="Times New Roman" w:hAnsi="Times New Roman" w:cs="Times New Roman"/>
          <w:i w:val="0"/>
          <w:sz w:val="24"/>
          <w:szCs w:val="24"/>
          <w:lang w:val="ru-RU"/>
        </w:rPr>
        <w:t>-</w:t>
      </w:r>
      <w:r w:rsidR="00B66E8C">
        <w:rPr>
          <w:rStyle w:val="2-1pt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B66E8C" w:rsidRPr="00B66E8C">
        <w:rPr>
          <w:rStyle w:val="2-1pt"/>
          <w:rFonts w:ascii="Times New Roman" w:hAnsi="Times New Roman" w:cs="Times New Roman"/>
          <w:i w:val="0"/>
          <w:sz w:val="24"/>
          <w:szCs w:val="24"/>
          <w:lang w:val="ru-RU"/>
        </w:rPr>
        <w:t>р</w:t>
      </w:r>
    </w:p>
    <w:p w:rsidR="008727A1" w:rsidRPr="00072F93" w:rsidRDefault="008727A1" w:rsidP="00072F93">
      <w:pPr>
        <w:pStyle w:val="20"/>
        <w:shd w:val="clear" w:color="auto" w:fill="auto"/>
        <w:spacing w:before="0" w:after="840"/>
        <w:ind w:left="5100"/>
        <w:jc w:val="left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  <w:u w:val="single"/>
          <w:shd w:val="clear" w:color="auto" w:fill="FFFFFF"/>
          <w:lang w:bidi="en-US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«Об утверждении карты рисков нарушения антимонопольного законодательства, ключевых показателей и методики расчета ключевых показателей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</w:p>
    <w:p w:rsidR="008727A1" w:rsidRPr="00072F93" w:rsidRDefault="008727A1" w:rsidP="008727A1">
      <w:pPr>
        <w:pStyle w:val="22"/>
        <w:keepNext/>
        <w:keepLines/>
        <w:shd w:val="clear" w:color="auto" w:fill="auto"/>
        <w:spacing w:before="0" w:after="0" w:line="298" w:lineRule="exact"/>
        <w:ind w:left="458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МЕТОДИКА</w:t>
      </w:r>
      <w:bookmarkEnd w:id="1"/>
    </w:p>
    <w:p w:rsidR="008727A1" w:rsidRPr="00072F93" w:rsidRDefault="008727A1" w:rsidP="008727A1">
      <w:pPr>
        <w:pStyle w:val="40"/>
        <w:shd w:val="clear" w:color="auto" w:fill="auto"/>
        <w:spacing w:after="270" w:line="298" w:lineRule="exact"/>
        <w:ind w:left="880"/>
        <w:jc w:val="left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расчета ключевых показателей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</w:p>
    <w:p w:rsidR="008727A1" w:rsidRPr="00072F93" w:rsidRDefault="008727A1" w:rsidP="008727A1">
      <w:pPr>
        <w:pStyle w:val="22"/>
        <w:keepNext/>
        <w:keepLines/>
        <w:shd w:val="clear" w:color="auto" w:fill="auto"/>
        <w:spacing w:before="0" w:after="266" w:line="260" w:lineRule="exact"/>
        <w:ind w:left="398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 I. Общие положения</w:t>
      </w:r>
      <w:bookmarkEnd w:id="2"/>
    </w:p>
    <w:p w:rsidR="008727A1" w:rsidRPr="00072F93" w:rsidRDefault="008727A1" w:rsidP="00072F93">
      <w:pPr>
        <w:pStyle w:val="20"/>
        <w:numPr>
          <w:ilvl w:val="0"/>
          <w:numId w:val="4"/>
        </w:numPr>
        <w:shd w:val="clear" w:color="auto" w:fill="auto"/>
        <w:tabs>
          <w:tab w:val="left" w:pos="1023"/>
        </w:tabs>
        <w:spacing w:before="0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Методика расчета ключевых показателей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— методика) разработана в целях оценки эффективности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Лебяжьевского</w:t>
      </w:r>
      <w:proofErr w:type="spellEnd"/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).</w:t>
      </w:r>
    </w:p>
    <w:p w:rsidR="008727A1" w:rsidRPr="00072F93" w:rsidRDefault="008727A1" w:rsidP="008727A1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266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оценки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методикой рассчитываются ключевые показатели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как для уполномоченного подразделения, так и для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целом.</w:t>
      </w:r>
    </w:p>
    <w:p w:rsidR="008727A1" w:rsidRPr="00072F93" w:rsidRDefault="008727A1" w:rsidP="008727A1">
      <w:pPr>
        <w:pStyle w:val="22"/>
        <w:keepNext/>
        <w:keepLines/>
        <w:shd w:val="clear" w:color="auto" w:fill="auto"/>
        <w:spacing w:before="0" w:after="9" w:line="260" w:lineRule="exact"/>
        <w:ind w:left="88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 II. Методика расчета ключевых показателей эффективности</w:t>
      </w:r>
      <w:bookmarkEnd w:id="3"/>
    </w:p>
    <w:p w:rsidR="008727A1" w:rsidRPr="00072F93" w:rsidRDefault="008727A1" w:rsidP="008727A1">
      <w:pPr>
        <w:pStyle w:val="40"/>
        <w:shd w:val="clear" w:color="auto" w:fill="auto"/>
        <w:spacing w:after="276" w:line="26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для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целом</w:t>
      </w:r>
    </w:p>
    <w:p w:rsidR="008727A1" w:rsidRPr="00072F93" w:rsidRDefault="008727A1" w:rsidP="008727A1">
      <w:pPr>
        <w:pStyle w:val="20"/>
        <w:numPr>
          <w:ilvl w:val="0"/>
          <w:numId w:val="4"/>
        </w:numPr>
        <w:shd w:val="clear" w:color="auto" w:fill="auto"/>
        <w:tabs>
          <w:tab w:val="left" w:pos="1152"/>
        </w:tabs>
        <w:spacing w:before="0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Коэффициент снижения количества нарушений антимонопольного законодательства со стороны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сравнению с предыдущим годом рассчитываются по формуле:</w:t>
      </w:r>
    </w:p>
    <w:p w:rsidR="008727A1" w:rsidRPr="00072F93" w:rsidRDefault="008727A1" w:rsidP="008727A1">
      <w:pPr>
        <w:pStyle w:val="20"/>
        <w:shd w:val="clear" w:color="auto" w:fill="auto"/>
        <w:spacing w:before="0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КСН =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Кнпг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Кног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где</w:t>
      </w:r>
    </w:p>
    <w:p w:rsidR="008727A1" w:rsidRPr="00072F93" w:rsidRDefault="008727A1" w:rsidP="008727A1">
      <w:pPr>
        <w:pStyle w:val="20"/>
        <w:shd w:val="clear" w:color="auto" w:fill="auto"/>
        <w:spacing w:before="0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КНС - коэффициент снижения количества нарушений антимонопольного законодательства со стороны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сравнению с предыдущим годом;</w:t>
      </w:r>
    </w:p>
    <w:p w:rsidR="008727A1" w:rsidRPr="00072F93" w:rsidRDefault="008727A1" w:rsidP="008727A1">
      <w:pPr>
        <w:pStyle w:val="20"/>
        <w:shd w:val="clear" w:color="auto" w:fill="auto"/>
        <w:spacing w:before="0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КНпг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количество нарушений антимонопольного законодательства со стороны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году, предшествующем отчетному году;</w:t>
      </w:r>
    </w:p>
    <w:p w:rsidR="008727A1" w:rsidRPr="00072F93" w:rsidRDefault="008727A1" w:rsidP="008727A1">
      <w:pPr>
        <w:pStyle w:val="20"/>
        <w:shd w:val="clear" w:color="auto" w:fill="auto"/>
        <w:spacing w:before="0" w:line="29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КН</w:t>
      </w:r>
      <w:r w:rsidRPr="00072F93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 w:bidi="ru-RU"/>
        </w:rPr>
        <w:t>0Г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количество нарушений антимонопольного законодательства со стороны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отчетном году.</w:t>
      </w:r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расчете </w:t>
      </w:r>
      <w:proofErr w:type="gram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коэффициента снижения количества нарушений антимонопольного законодательства</w:t>
      </w:r>
      <w:proofErr w:type="gram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 стороны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 нарушением антимонопольного законодательства со стороны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понимаются: возбужденные антимонопольным органом в отношении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антимонопольные дела;</w:t>
      </w:r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выданные антимонопольным органом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предупреждения о 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прекращении действий (бездействия), об отмене или изменении актов, которые содержат признаки нарушений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направленные антимонопольным органом </w:t>
      </w:r>
      <w:r w:rsid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8727A1" w:rsidRPr="00072F93" w:rsidRDefault="008727A1" w:rsidP="008727A1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проектов нормативных правовых актов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которых выявлены риски нарушения </w:t>
      </w:r>
      <w:proofErr w:type="gram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антимонопольного</w:t>
      </w:r>
      <w:proofErr w:type="gram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законодательства, рассчитываются по формуле:</w:t>
      </w:r>
    </w:p>
    <w:p w:rsidR="008727A1" w:rsidRPr="00072F93" w:rsidRDefault="008727A1" w:rsidP="008727A1">
      <w:pPr>
        <w:pStyle w:val="60"/>
        <w:shd w:val="clear" w:color="auto" w:fill="auto"/>
        <w:spacing w:line="16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Дпнп</w:t>
      </w:r>
      <w:proofErr w:type="gram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-</w:t>
      </w:r>
      <w:proofErr w:type="gram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Кпнпа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/Кноп,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ГДв</w:t>
      </w:r>
      <w:proofErr w:type="spellEnd"/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Дпнпа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доля проектов нормативных правовых актов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 которых выявлены риски нарушения антимонопольного законодательства в отчетном году;</w:t>
      </w:r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Кпнпа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количество проектов нормативных правовых актов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которых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Администрацией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выявлены риски нарушения антимонопольного законодательства в отчетном году;</w:t>
      </w:r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Кноп - количество нормативных правовых актов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 которых антимонопольным органом выявлены нарушения антимонопольного законодательства в отчетном году.</w:t>
      </w:r>
    </w:p>
    <w:p w:rsidR="008727A1" w:rsidRPr="00072F93" w:rsidRDefault="008727A1" w:rsidP="008727A1">
      <w:pPr>
        <w:pStyle w:val="20"/>
        <w:numPr>
          <w:ilvl w:val="0"/>
          <w:numId w:val="4"/>
        </w:numPr>
        <w:shd w:val="clear" w:color="auto" w:fill="auto"/>
        <w:tabs>
          <w:tab w:val="left" w:pos="1033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нормативных правовых актов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которых выявлены риски нарушения </w:t>
      </w:r>
      <w:proofErr w:type="gram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антимонопольного</w:t>
      </w:r>
      <w:proofErr w:type="gram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законодательства, рассчитываются по формуле:</w:t>
      </w:r>
    </w:p>
    <w:p w:rsidR="008727A1" w:rsidRPr="00072F93" w:rsidRDefault="008727A1" w:rsidP="008727A1">
      <w:pPr>
        <w:pStyle w:val="60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Днпа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72F9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—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Кнпа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/Кноп, </w:t>
      </w:r>
      <w:r w:rsidRPr="00072F93">
        <w:rPr>
          <w:rStyle w:val="610pt"/>
          <w:rFonts w:ascii="Times New Roman" w:hAnsi="Times New Roman" w:cs="Times New Roman"/>
          <w:sz w:val="24"/>
          <w:szCs w:val="24"/>
        </w:rPr>
        <w:t xml:space="preserve">ГД </w:t>
      </w:r>
      <w:proofErr w:type="gramStart"/>
      <w:r w:rsidRPr="00072F93">
        <w:rPr>
          <w:rStyle w:val="610pt"/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Днпа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доля проектов нормативных правовых актов </w:t>
      </w:r>
      <w:proofErr w:type="gramStart"/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proofErr w:type="gram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которых выявлены риски нарушения антимонопольного законодательства в отчетном году;</w:t>
      </w:r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Кипа — количество нормативных правовых актов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которых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Администрацией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выявлены риски нарушения антимонопольного законодательства в отчетном году;</w:t>
      </w:r>
    </w:p>
    <w:p w:rsidR="008727A1" w:rsidRPr="00072F93" w:rsidRDefault="008727A1" w:rsidP="008727A1">
      <w:pPr>
        <w:pStyle w:val="20"/>
        <w:shd w:val="clear" w:color="auto" w:fill="auto"/>
        <w:spacing w:before="0" w:after="24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Кноп - количество нормативных правовых актов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 которых антимонопольным органом выявлены нарушения антимонопольного законодательства в отчетном году.</w:t>
      </w:r>
    </w:p>
    <w:p w:rsidR="008727A1" w:rsidRPr="00072F93" w:rsidRDefault="008727A1" w:rsidP="008727A1">
      <w:pPr>
        <w:pStyle w:val="40"/>
        <w:shd w:val="clear" w:color="auto" w:fill="auto"/>
        <w:spacing w:line="298" w:lineRule="exact"/>
        <w:ind w:left="920"/>
        <w:jc w:val="left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Раздел 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III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Методика расчета ключевых показателей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уполномоченного подразделения</w:t>
      </w:r>
    </w:p>
    <w:p w:rsidR="008727A1" w:rsidRPr="00072F93" w:rsidRDefault="008727A1" w:rsidP="008727A1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Доля сотрудников</w:t>
      </w:r>
      <w:r w:rsidR="00DD1B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уполномоченного подразделения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D1D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отношении которых проведены мероприятия информационного характера по антимонопольному комплексу.</w:t>
      </w:r>
    </w:p>
    <w:p w:rsidR="008727A1" w:rsidRPr="00072F93" w:rsidRDefault="008727A1" w:rsidP="008727A1">
      <w:pPr>
        <w:pStyle w:val="60"/>
        <w:shd w:val="clear" w:color="auto" w:fill="auto"/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ДС=КС/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КСобщ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072F93">
        <w:rPr>
          <w:rStyle w:val="613pt"/>
          <w:rFonts w:ascii="Times New Roman" w:hAnsi="Times New Roman" w:cs="Times New Roman"/>
          <w:sz w:val="24"/>
          <w:szCs w:val="24"/>
        </w:rPr>
        <w:t>где</w:t>
      </w:r>
    </w:p>
    <w:p w:rsidR="008727A1" w:rsidRPr="00072F93" w:rsidRDefault="008727A1" w:rsidP="008727A1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КС - количество сотрудников </w:t>
      </w:r>
      <w:r w:rsidR="00DD1B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уполномоченного подразделения </w:t>
      </w:r>
      <w:r w:rsidR="00ED1D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комплаенсу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727A1" w:rsidRPr="00072F93" w:rsidRDefault="008727A1" w:rsidP="008727A1">
      <w:pPr>
        <w:pStyle w:val="20"/>
        <w:shd w:val="clear" w:color="auto" w:fill="auto"/>
        <w:spacing w:before="0" w:after="270"/>
        <w:rPr>
          <w:rFonts w:ascii="Times New Roman" w:hAnsi="Times New Roman" w:cs="Times New Roman"/>
          <w:sz w:val="24"/>
          <w:szCs w:val="24"/>
        </w:rPr>
      </w:pP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КСобщ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общее количество сотрудников </w:t>
      </w:r>
      <w:r w:rsidR="00DD1BE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уполномоченного подразделения </w:t>
      </w:r>
      <w:r w:rsidR="00ED1D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чьи трудовые обязанности предусматривают выполнение функций, связанных с рисками нарушения антимонопольного законодательства.</w:t>
      </w:r>
    </w:p>
    <w:p w:rsidR="007C4F05" w:rsidRDefault="007C4F05" w:rsidP="008727A1">
      <w:pPr>
        <w:pStyle w:val="22"/>
        <w:keepNext/>
        <w:keepLines/>
        <w:shd w:val="clear" w:color="auto" w:fill="auto"/>
        <w:spacing w:before="0" w:after="4" w:line="260" w:lineRule="exact"/>
        <w:ind w:left="300" w:firstLine="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" w:name="bookmark5"/>
    </w:p>
    <w:p w:rsidR="008727A1" w:rsidRPr="00072F93" w:rsidRDefault="008727A1" w:rsidP="008727A1">
      <w:pPr>
        <w:pStyle w:val="22"/>
        <w:keepNext/>
        <w:keepLines/>
        <w:shd w:val="clear" w:color="auto" w:fill="auto"/>
        <w:spacing w:before="0" w:after="4" w:line="260" w:lineRule="exact"/>
        <w:ind w:left="3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Раздел IV. Оценка значений ключевых показателей эффективности </w:t>
      </w:r>
      <w:proofErr w:type="gram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</w:t>
      </w:r>
      <w:bookmarkEnd w:id="4"/>
      <w:proofErr w:type="gramEnd"/>
    </w:p>
    <w:p w:rsidR="008727A1" w:rsidRPr="00072F93" w:rsidRDefault="00ED1DBA" w:rsidP="008727A1">
      <w:pPr>
        <w:pStyle w:val="22"/>
        <w:keepNext/>
        <w:keepLines/>
        <w:shd w:val="clear" w:color="auto" w:fill="auto"/>
        <w:spacing w:before="0" w:after="267" w:line="26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5" w:name="bookmark6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="008727A1"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целом</w:t>
      </w:r>
      <w:bookmarkEnd w:id="5"/>
    </w:p>
    <w:p w:rsidR="008727A1" w:rsidRDefault="008727A1" w:rsidP="005C6A1A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proofErr w:type="gram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Ежегодная оценка значения ключевого показателя «коэффициент снижения количества нарушений антимонопольного законодательства со стороны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сравнению с предыдущим годом» призвана обеспечить понимание об эффективности функционирования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ED1D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о соответствии мероприятий антимонопольного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комплаенса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направлениям совершенствования государственной политики по развитию конкуренции, установленных Национальным планом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(«дорожной картой»)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развития конкуренции в Российской Федерации на 20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21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- 202</w:t>
      </w:r>
      <w:r w:rsidR="003111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годы, утвержденным 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распоряжением Правительства</w:t>
      </w:r>
      <w:proofErr w:type="gram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Российской Федерации от 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02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сентября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21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№ 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2424-Р.</w:t>
      </w:r>
    </w:p>
    <w:p w:rsidR="005C6A1A" w:rsidRPr="005C6A1A" w:rsidRDefault="005C6A1A" w:rsidP="00DD1BE6">
      <w:pPr>
        <w:pStyle w:val="20"/>
        <w:shd w:val="clear" w:color="auto" w:fill="auto"/>
        <w:tabs>
          <w:tab w:val="left" w:pos="1094"/>
        </w:tabs>
        <w:spacing w:before="0"/>
        <w:ind w:left="740"/>
        <w:rPr>
          <w:rFonts w:ascii="Times New Roman" w:hAnsi="Times New Roman" w:cs="Times New Roman"/>
          <w:sz w:val="24"/>
          <w:szCs w:val="24"/>
        </w:rPr>
      </w:pPr>
    </w:p>
    <w:p w:rsidR="008727A1" w:rsidRPr="00072F93" w:rsidRDefault="008727A1" w:rsidP="008727A1">
      <w:pPr>
        <w:pStyle w:val="22"/>
        <w:keepNext/>
        <w:keepLines/>
        <w:shd w:val="clear" w:color="auto" w:fill="auto"/>
        <w:spacing w:before="0" w:after="240" w:line="298" w:lineRule="exact"/>
        <w:ind w:left="2500"/>
        <w:jc w:val="left"/>
        <w:rPr>
          <w:rFonts w:ascii="Times New Roman" w:hAnsi="Times New Roman" w:cs="Times New Roman"/>
          <w:sz w:val="24"/>
          <w:szCs w:val="24"/>
        </w:rPr>
      </w:pPr>
      <w:bookmarkStart w:id="6" w:name="bookmark7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 V. Оценка значений ключевых показателей эффективности для уполномоченного подразделения</w:t>
      </w:r>
      <w:bookmarkEnd w:id="6"/>
    </w:p>
    <w:p w:rsidR="008727A1" w:rsidRPr="00072F93" w:rsidRDefault="008727A1" w:rsidP="008727A1">
      <w:pPr>
        <w:pStyle w:val="20"/>
        <w:numPr>
          <w:ilvl w:val="0"/>
          <w:numId w:val="4"/>
        </w:numPr>
        <w:shd w:val="clear" w:color="auto" w:fill="auto"/>
        <w:tabs>
          <w:tab w:val="left" w:pos="1167"/>
        </w:tabs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Консультирование и обучение сотрудников 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комплаенсом</w:t>
      </w:r>
      <w:proofErr w:type="spellEnd"/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отнесено к компетенции уполномоченного подразделения, и направлено на профилактику нарушений требований антимонопольного законодательства в деятельности 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В том числе от эффективности работы уполномоченного подразделения по данном направлению напрямую зависит возможность достижения целей Национального плана, предусмотренных подпунктом «б» пункта 1 Национального плана.</w:t>
      </w:r>
    </w:p>
    <w:p w:rsidR="008727A1" w:rsidRPr="00072F93" w:rsidRDefault="008727A1" w:rsidP="008727A1">
      <w:pPr>
        <w:pStyle w:val="20"/>
        <w:numPr>
          <w:ilvl w:val="0"/>
          <w:numId w:val="4"/>
        </w:numPr>
        <w:shd w:val="clear" w:color="auto" w:fill="auto"/>
        <w:tabs>
          <w:tab w:val="left" w:pos="1177"/>
        </w:tabs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Расчёт данного показателя предусматривает определение сотрудников </w:t>
      </w:r>
      <w:r w:rsidR="005C6A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Администрации</w:t>
      </w:r>
      <w:r w:rsidRPr="00072F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чьи трудовые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мероприятия информационного характера по антимонопольному комплексу (числитель), обеспечивает высокое значение ключевого показателя эффективности.</w:t>
      </w:r>
    </w:p>
    <w:p w:rsidR="008727A1" w:rsidRPr="00072F93" w:rsidRDefault="008727A1" w:rsidP="008727A1">
      <w:pPr>
        <w:rPr>
          <w:rFonts w:ascii="Times New Roman" w:hAnsi="Times New Roman" w:cs="Times New Roman"/>
        </w:rPr>
      </w:pPr>
    </w:p>
    <w:p w:rsidR="008727A1" w:rsidRDefault="008727A1" w:rsidP="008727A1"/>
    <w:p w:rsidR="007C4F05" w:rsidRDefault="007C4F05" w:rsidP="008727A1"/>
    <w:p w:rsidR="007C4F05" w:rsidRDefault="007C4F05" w:rsidP="008727A1"/>
    <w:p w:rsidR="007C4F05" w:rsidRDefault="007C4F05" w:rsidP="008727A1"/>
    <w:p w:rsidR="007C4F05" w:rsidRDefault="007C4F05" w:rsidP="008727A1"/>
    <w:p w:rsidR="007C4F05" w:rsidRDefault="007C4F05" w:rsidP="008727A1"/>
    <w:p w:rsidR="007C4F05" w:rsidRDefault="007C4F05" w:rsidP="008727A1"/>
    <w:p w:rsidR="007C4F05" w:rsidRDefault="007C4F05" w:rsidP="008727A1"/>
    <w:p w:rsidR="007C4F05" w:rsidRDefault="007C4F05" w:rsidP="008727A1"/>
    <w:p w:rsidR="007C4F05" w:rsidRDefault="007C4F05" w:rsidP="008727A1"/>
    <w:p w:rsidR="007C4F05" w:rsidRDefault="007C4F05" w:rsidP="008727A1"/>
    <w:sectPr w:rsidR="007C4F05" w:rsidSect="0087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EF" w:rsidRDefault="00D23DEF" w:rsidP="00057211">
      <w:r>
        <w:separator/>
      </w:r>
    </w:p>
  </w:endnote>
  <w:endnote w:type="continuationSeparator" w:id="0">
    <w:p w:rsidR="00D23DEF" w:rsidRDefault="00D23DEF" w:rsidP="00057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EF" w:rsidRDefault="00D23DEF" w:rsidP="00057211">
      <w:r>
        <w:separator/>
      </w:r>
    </w:p>
  </w:footnote>
  <w:footnote w:type="continuationSeparator" w:id="0">
    <w:p w:rsidR="00D23DEF" w:rsidRDefault="00D23DEF" w:rsidP="00057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DA" w:rsidRDefault="00D23D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1271"/>
    <w:multiLevelType w:val="multilevel"/>
    <w:tmpl w:val="4476F4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E565C"/>
    <w:multiLevelType w:val="multilevel"/>
    <w:tmpl w:val="31F4DF2C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1D73A3"/>
    <w:multiLevelType w:val="hybridMultilevel"/>
    <w:tmpl w:val="AF7A7B4E"/>
    <w:lvl w:ilvl="0" w:tplc="D4E8674E">
      <w:start w:val="3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288A6485"/>
    <w:multiLevelType w:val="hybridMultilevel"/>
    <w:tmpl w:val="8D488612"/>
    <w:lvl w:ilvl="0" w:tplc="2060615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E4934"/>
    <w:multiLevelType w:val="multilevel"/>
    <w:tmpl w:val="986E558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80559"/>
    <w:multiLevelType w:val="hybridMultilevel"/>
    <w:tmpl w:val="69D0F01C"/>
    <w:lvl w:ilvl="0" w:tplc="8F7634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16E90"/>
    <w:multiLevelType w:val="multilevel"/>
    <w:tmpl w:val="B5DAE6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9B72F4"/>
    <w:multiLevelType w:val="hybridMultilevel"/>
    <w:tmpl w:val="2090BCA0"/>
    <w:lvl w:ilvl="0" w:tplc="F9609568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7C157543"/>
    <w:multiLevelType w:val="hybridMultilevel"/>
    <w:tmpl w:val="A864AC92"/>
    <w:lvl w:ilvl="0" w:tplc="09020E7A">
      <w:start w:val="3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7A1"/>
    <w:rsid w:val="00005F3E"/>
    <w:rsid w:val="00057211"/>
    <w:rsid w:val="00072F93"/>
    <w:rsid w:val="001B1C9D"/>
    <w:rsid w:val="001F6042"/>
    <w:rsid w:val="002D2AEB"/>
    <w:rsid w:val="002D3392"/>
    <w:rsid w:val="002F3756"/>
    <w:rsid w:val="0031114F"/>
    <w:rsid w:val="00431C0D"/>
    <w:rsid w:val="005C6A1A"/>
    <w:rsid w:val="00615787"/>
    <w:rsid w:val="007139A1"/>
    <w:rsid w:val="007C4F05"/>
    <w:rsid w:val="008727A1"/>
    <w:rsid w:val="008A5DF9"/>
    <w:rsid w:val="00916B39"/>
    <w:rsid w:val="00A37CD8"/>
    <w:rsid w:val="00AB2047"/>
    <w:rsid w:val="00B61C10"/>
    <w:rsid w:val="00B66E8C"/>
    <w:rsid w:val="00BE1550"/>
    <w:rsid w:val="00CF415E"/>
    <w:rsid w:val="00D23DEF"/>
    <w:rsid w:val="00DD1BE6"/>
    <w:rsid w:val="00ED1DBA"/>
    <w:rsid w:val="00FA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27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727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727A1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27A1"/>
    <w:pPr>
      <w:shd w:val="clear" w:color="auto" w:fill="FFFFFF"/>
      <w:spacing w:before="240" w:line="298" w:lineRule="exact"/>
      <w:jc w:val="both"/>
    </w:pPr>
    <w:rPr>
      <w:rFonts w:ascii="Arial" w:eastAsia="Arial" w:hAnsi="Arial" w:cs="Arial"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8727A1"/>
    <w:pPr>
      <w:shd w:val="clear" w:color="auto" w:fill="FFFFFF"/>
      <w:spacing w:after="240" w:line="293" w:lineRule="exact"/>
      <w:jc w:val="center"/>
    </w:pPr>
    <w:rPr>
      <w:rFonts w:ascii="Arial" w:eastAsia="Arial" w:hAnsi="Arial" w:cs="Arial"/>
      <w:b/>
      <w:bCs/>
      <w:color w:val="auto"/>
      <w:sz w:val="26"/>
      <w:szCs w:val="26"/>
      <w:lang w:eastAsia="en-US" w:bidi="ar-SA"/>
    </w:rPr>
  </w:style>
  <w:style w:type="character" w:customStyle="1" w:styleId="2-1pt">
    <w:name w:val="Основной текст (2) + Курсив;Интервал -1 pt"/>
    <w:basedOn w:val="2"/>
    <w:rsid w:val="008727A1"/>
    <w:rPr>
      <w:b w:val="0"/>
      <w:bCs w:val="0"/>
      <w:i/>
      <w:iCs/>
      <w:smallCaps w:val="0"/>
      <w:strike w:val="0"/>
      <w:color w:val="000000"/>
      <w:spacing w:val="-20"/>
      <w:w w:val="100"/>
      <w:position w:val="0"/>
      <w:u w:val="single"/>
      <w:lang w:val="en-US" w:eastAsia="en-US" w:bidi="en-US"/>
    </w:rPr>
  </w:style>
  <w:style w:type="character" w:customStyle="1" w:styleId="21">
    <w:name w:val="Заголовок №2_"/>
    <w:basedOn w:val="a0"/>
    <w:link w:val="22"/>
    <w:rsid w:val="008727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"/>
    <w:rsid w:val="008727A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rsid w:val="008727A1"/>
    <w:pPr>
      <w:shd w:val="clear" w:color="auto" w:fill="FFFFFF"/>
      <w:spacing w:before="300" w:after="60" w:line="0" w:lineRule="atLeast"/>
      <w:ind w:hanging="1520"/>
      <w:jc w:val="center"/>
      <w:outlineLvl w:val="1"/>
    </w:pPr>
    <w:rPr>
      <w:rFonts w:ascii="Arial" w:eastAsia="Arial" w:hAnsi="Arial" w:cs="Arial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6)_"/>
    <w:basedOn w:val="a0"/>
    <w:link w:val="60"/>
    <w:rsid w:val="008727A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610pt">
    <w:name w:val="Основной текст (6) + 10 pt"/>
    <w:basedOn w:val="6"/>
    <w:rsid w:val="008727A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613pt">
    <w:name w:val="Основной текст (6) + 13 pt"/>
    <w:basedOn w:val="6"/>
    <w:rsid w:val="008727A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727A1"/>
    <w:pPr>
      <w:shd w:val="clear" w:color="auto" w:fill="FFFFFF"/>
      <w:spacing w:line="0" w:lineRule="atLeast"/>
      <w:ind w:firstLine="740"/>
      <w:jc w:val="both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styleId="a3">
    <w:name w:val="Normal (Web)"/>
    <w:basedOn w:val="a"/>
    <w:link w:val="a4"/>
    <w:rsid w:val="008727A1"/>
    <w:pPr>
      <w:widowControl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character" w:customStyle="1" w:styleId="1">
    <w:name w:val="Заголовок №1_"/>
    <w:basedOn w:val="a0"/>
    <w:link w:val="10"/>
    <w:locked/>
    <w:rsid w:val="008727A1"/>
    <w:rPr>
      <w:b/>
      <w:bCs/>
      <w:sz w:val="42"/>
      <w:szCs w:val="42"/>
      <w:shd w:val="clear" w:color="auto" w:fill="FFFFFF"/>
    </w:rPr>
  </w:style>
  <w:style w:type="paragraph" w:customStyle="1" w:styleId="10">
    <w:name w:val="Заголовок №1"/>
    <w:basedOn w:val="a"/>
    <w:link w:val="1"/>
    <w:rsid w:val="008727A1"/>
    <w:pPr>
      <w:shd w:val="clear" w:color="auto" w:fill="FFFFFF"/>
      <w:spacing w:before="720" w:after="4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42"/>
      <w:szCs w:val="42"/>
      <w:lang w:eastAsia="en-US" w:bidi="ar-SA"/>
    </w:rPr>
  </w:style>
  <w:style w:type="character" w:customStyle="1" w:styleId="a4">
    <w:name w:val="Обычный (веб) Знак"/>
    <w:basedOn w:val="a0"/>
    <w:link w:val="a3"/>
    <w:locked/>
    <w:rsid w:val="008727A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7A1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431C0D"/>
    <w:pPr>
      <w:ind w:left="720"/>
      <w:contextualSpacing/>
    </w:pPr>
  </w:style>
  <w:style w:type="paragraph" w:customStyle="1" w:styleId="ConsPlusTitle">
    <w:name w:val="ConsPlusTitle"/>
    <w:rsid w:val="007C4F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AD8A-D728-4276-8A76-BB0BBB9B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15</cp:revision>
  <cp:lastPrinted>2022-05-19T05:21:00Z</cp:lastPrinted>
  <dcterms:created xsi:type="dcterms:W3CDTF">2022-04-20T03:14:00Z</dcterms:created>
  <dcterms:modified xsi:type="dcterms:W3CDTF">2022-05-25T08:38:00Z</dcterms:modified>
</cp:coreProperties>
</file>