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701AC" w14:textId="77777777" w:rsidR="005C1F6D" w:rsidRDefault="005C1F6D" w:rsidP="004905DA">
      <w:pPr>
        <w:pStyle w:val="4"/>
        <w:spacing w:before="0" w:beforeAutospacing="0" w:after="0" w:afterAutospacing="0"/>
        <w:ind w:left="-567" w:right="-1"/>
        <w:jc w:val="center"/>
        <w:rPr>
          <w:color w:val="000000"/>
        </w:rPr>
      </w:pPr>
      <w:r>
        <w:rPr>
          <w:b w:val="0"/>
          <w:noProof/>
          <w:sz w:val="52"/>
          <w:szCs w:val="52"/>
        </w:rPr>
        <w:drawing>
          <wp:inline distT="0" distB="0" distL="0" distR="0" wp14:anchorId="4099EB37" wp14:editId="6BE1716C">
            <wp:extent cx="6667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7ED4A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>КУРГАНСКАЯ ОБЛАСТЬ</w:t>
      </w:r>
    </w:p>
    <w:p w14:paraId="17E70681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>ЛЕБЯЖЬЕВСКИЙ МУНИЦИПАЛЬНЫЙ ОКРУГ КУРГАНСКОЙ ОБЛАСТИ</w:t>
      </w:r>
    </w:p>
    <w:p w14:paraId="14F13571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 xml:space="preserve">АДМИНИСТРАЦИЯ ЛЕБЯЖЬЕВСКОГО МУНИЦИПАЛЬНОГО ОКРУГА </w:t>
      </w:r>
    </w:p>
    <w:p w14:paraId="049BFAD5" w14:textId="77777777" w:rsidR="005C1F6D" w:rsidRDefault="005C1F6D" w:rsidP="005C1F6D">
      <w:pPr>
        <w:jc w:val="center"/>
      </w:pPr>
      <w:r>
        <w:t>КУРГАНСКОЙ ОБЛАСТИ</w:t>
      </w:r>
    </w:p>
    <w:p w14:paraId="6EF27B7E" w14:textId="77777777" w:rsidR="005C1F6D" w:rsidRDefault="005C1F6D" w:rsidP="005C1F6D">
      <w:pPr>
        <w:jc w:val="center"/>
      </w:pPr>
    </w:p>
    <w:p w14:paraId="677880DD" w14:textId="77777777" w:rsidR="005C1F6D" w:rsidRDefault="005C1F6D" w:rsidP="005C1F6D">
      <w:pPr>
        <w:jc w:val="center"/>
      </w:pPr>
    </w:p>
    <w:p w14:paraId="14F4944D" w14:textId="77777777" w:rsidR="005C1F6D" w:rsidRDefault="005C1F6D" w:rsidP="005C1F6D">
      <w:pPr>
        <w:jc w:val="center"/>
      </w:pPr>
      <w:r>
        <w:rPr>
          <w:b/>
          <w:bCs/>
        </w:rPr>
        <w:t>ПОСТАНОВЛЕНИЕ</w:t>
      </w:r>
    </w:p>
    <w:p w14:paraId="05EA04AD" w14:textId="77777777" w:rsidR="005C1F6D" w:rsidRDefault="005C1F6D" w:rsidP="005C1F6D"/>
    <w:p w14:paraId="7DC204E2" w14:textId="77777777" w:rsidR="005C1F6D" w:rsidRDefault="005C1F6D" w:rsidP="005C1F6D"/>
    <w:p w14:paraId="17426078" w14:textId="2EE31EC3" w:rsidR="005C1F6D" w:rsidRDefault="005C1F6D" w:rsidP="005C1F6D">
      <w:pPr>
        <w:rPr>
          <w:u w:val="single"/>
        </w:rPr>
      </w:pPr>
      <w:proofErr w:type="gramStart"/>
      <w:r>
        <w:t xml:space="preserve">от  </w:t>
      </w:r>
      <w:r w:rsidR="007B213B">
        <w:t>2</w:t>
      </w:r>
      <w:proofErr w:type="gramEnd"/>
      <w:r w:rsidR="007B213B">
        <w:t xml:space="preserve"> февраля</w:t>
      </w:r>
      <w:r w:rsidR="00B04647">
        <w:t xml:space="preserve"> 2026</w:t>
      </w:r>
      <w:r>
        <w:t xml:space="preserve"> года </w:t>
      </w:r>
      <w:r>
        <w:sym w:font="Times New Roman" w:char="2116"/>
      </w:r>
      <w:r w:rsidR="007B213B">
        <w:t xml:space="preserve"> 19 </w:t>
      </w:r>
    </w:p>
    <w:p w14:paraId="687B9390" w14:textId="77777777" w:rsidR="005C1F6D" w:rsidRDefault="005C1F6D" w:rsidP="005C1F6D">
      <w:r>
        <w:t xml:space="preserve">     </w:t>
      </w:r>
      <w:r w:rsidR="00A87820">
        <w:t xml:space="preserve"> </w:t>
      </w:r>
      <w:r>
        <w:t>р.п.Лебяжье</w:t>
      </w:r>
    </w:p>
    <w:p w14:paraId="67D8EF73" w14:textId="77777777" w:rsidR="005C1F6D" w:rsidRDefault="005C1F6D" w:rsidP="005C1F6D"/>
    <w:p w14:paraId="0866FD73" w14:textId="77777777" w:rsidR="005C1F6D" w:rsidRDefault="005C1F6D" w:rsidP="005C1F6D"/>
    <w:p w14:paraId="7215E31D" w14:textId="77777777" w:rsidR="005C1F6D" w:rsidRDefault="00F02E15" w:rsidP="004905DA">
      <w:pPr>
        <w:pStyle w:val="ConsPlusNormal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внесении изменений</w:t>
      </w:r>
      <w:r w:rsidR="005C1F6D">
        <w:rPr>
          <w:b/>
          <w:sz w:val="24"/>
          <w:szCs w:val="24"/>
        </w:rPr>
        <w:t xml:space="preserve"> в постановление Администрации Лебяжьевского</w:t>
      </w:r>
    </w:p>
    <w:p w14:paraId="4CB6D488" w14:textId="77777777" w:rsidR="004905DA" w:rsidRDefault="005C1F6D" w:rsidP="004905DA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 Курганской области от 26 ноября 2024 года №</w:t>
      </w:r>
      <w:r w:rsidR="004A6A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785</w:t>
      </w:r>
      <w:r w:rsidR="004A6A36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</w:t>
      </w:r>
    </w:p>
    <w:p w14:paraId="1D044F22" w14:textId="77777777" w:rsidR="004905DA" w:rsidRDefault="005C1F6D" w:rsidP="004905DA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 утверждении Перечня главных администраторов доходов бюджета округа</w:t>
      </w:r>
    </w:p>
    <w:p w14:paraId="495C8A24" w14:textId="77777777" w:rsidR="005C1F6D" w:rsidRPr="004A6A36" w:rsidRDefault="004A6A36" w:rsidP="004905DA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C1F6D">
        <w:rPr>
          <w:b/>
          <w:sz w:val="24"/>
          <w:szCs w:val="24"/>
        </w:rPr>
        <w:t xml:space="preserve"> и Перечня</w:t>
      </w:r>
      <w:r>
        <w:rPr>
          <w:b/>
          <w:sz w:val="24"/>
          <w:szCs w:val="24"/>
        </w:rPr>
        <w:t xml:space="preserve"> </w:t>
      </w:r>
      <w:r w:rsidR="005C1F6D">
        <w:rPr>
          <w:b/>
          <w:sz w:val="24"/>
          <w:szCs w:val="24"/>
        </w:rPr>
        <w:t>главных администраторов источников финансирования</w:t>
      </w:r>
      <w:r>
        <w:rPr>
          <w:b/>
          <w:sz w:val="24"/>
          <w:szCs w:val="24"/>
        </w:rPr>
        <w:t xml:space="preserve">                       </w:t>
      </w:r>
      <w:r w:rsidR="005C1F6D">
        <w:rPr>
          <w:b/>
          <w:sz w:val="24"/>
          <w:szCs w:val="24"/>
        </w:rPr>
        <w:t xml:space="preserve"> дефицита бюджета округа»</w:t>
      </w:r>
    </w:p>
    <w:bookmarkEnd w:id="0"/>
    <w:p w14:paraId="7E2C6928" w14:textId="77777777" w:rsidR="005C1F6D" w:rsidRDefault="005C1F6D" w:rsidP="005C1F6D"/>
    <w:p w14:paraId="08CB1AD2" w14:textId="77777777" w:rsidR="005C1F6D" w:rsidRDefault="005C1F6D" w:rsidP="005C1F6D">
      <w:pPr>
        <w:pStyle w:val="Default"/>
        <w:tabs>
          <w:tab w:val="left" w:pos="3569"/>
        </w:tabs>
      </w:pPr>
      <w:r>
        <w:tab/>
      </w:r>
    </w:p>
    <w:p w14:paraId="72D0A45B" w14:textId="77777777" w:rsidR="005C1F6D" w:rsidRDefault="005C1F6D" w:rsidP="005C1F6D">
      <w:pPr>
        <w:pStyle w:val="a3"/>
        <w:tabs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         </w:t>
      </w:r>
      <w:r>
        <w:t xml:space="preserve">В соответствии с пунктом </w:t>
      </w:r>
      <w:r>
        <w:rPr>
          <w:rStyle w:val="markedcontent"/>
        </w:rPr>
        <w:t>3</w:t>
      </w:r>
      <w:r>
        <w:rPr>
          <w:rStyle w:val="markedcontent"/>
          <w:vertAlign w:val="superscript"/>
        </w:rPr>
        <w:t>2</w:t>
      </w:r>
      <w:r>
        <w:rPr>
          <w:rStyle w:val="markedcontent"/>
        </w:rPr>
        <w:t xml:space="preserve"> статьи 160</w:t>
      </w:r>
      <w:r>
        <w:rPr>
          <w:rStyle w:val="markedcontent"/>
          <w:vertAlign w:val="superscript"/>
        </w:rPr>
        <w:t>1</w:t>
      </w:r>
      <w:r>
        <w:rPr>
          <w:rStyle w:val="markedcontent"/>
        </w:rPr>
        <w:t xml:space="preserve">  и </w:t>
      </w:r>
      <w:r>
        <w:t>пунктом 4</w:t>
      </w:r>
      <w:r>
        <w:rPr>
          <w:rStyle w:val="markedcontent"/>
        </w:rPr>
        <w:t xml:space="preserve"> статьи 160</w:t>
      </w:r>
      <w:r>
        <w:rPr>
          <w:rStyle w:val="markedcontent"/>
          <w:vertAlign w:val="superscript"/>
        </w:rPr>
        <w:t>2</w:t>
      </w:r>
      <w:r>
        <w:rPr>
          <w:rStyle w:val="markedcontent"/>
          <w:sz w:val="18"/>
          <w:szCs w:val="18"/>
        </w:rPr>
        <w:t xml:space="preserve"> </w:t>
      </w:r>
      <w:r>
        <w:rPr>
          <w:rStyle w:val="markedcontent"/>
        </w:rPr>
        <w:t xml:space="preserve"> </w:t>
      </w:r>
      <w:r>
        <w:t>Бюджетного</w:t>
      </w:r>
      <w:r w:rsidR="002A63A3">
        <w:t xml:space="preserve"> кодекса Российской Федерации, п</w:t>
      </w:r>
      <w:r>
        <w:t>остановлением Правительства Российской Федерации                       от 16 сентября 2021 года №</w:t>
      </w:r>
      <w:r w:rsidR="004A6A36">
        <w:t xml:space="preserve"> </w:t>
      </w:r>
      <w: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2A63A3">
        <w:t>, статьей 36 Устава Лебяжьевского муниципального округа Курганской области</w:t>
      </w:r>
      <w:r>
        <w:t xml:space="preserve">  Администрация Лебяжьевского муниципального округа Курганской области</w:t>
      </w:r>
    </w:p>
    <w:p w14:paraId="493E2E7E" w14:textId="77777777" w:rsidR="005C1F6D" w:rsidRDefault="005C1F6D" w:rsidP="005C1F6D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t>ПОСТАНОВЛЯЕТ:</w:t>
      </w:r>
    </w:p>
    <w:p w14:paraId="718A864A" w14:textId="77777777" w:rsidR="005C1F6D" w:rsidRDefault="005C1F6D" w:rsidP="005C1F6D">
      <w:pPr>
        <w:pStyle w:val="ConsPlusNormal"/>
        <w:jc w:val="both"/>
      </w:pPr>
      <w:r>
        <w:rPr>
          <w:sz w:val="24"/>
          <w:szCs w:val="24"/>
        </w:rPr>
        <w:t xml:space="preserve">         1.</w:t>
      </w:r>
      <w:r w:rsidR="004A6A36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в приложение 1 к постановлению Администрации Лебяжьевского муниципального округа Курганской области от 26 ноября 2024 года № 785 «Об утверждении Перечня главных администраторов доходов бюджета округа и Перечня главных администраторов источников финансирования д</w:t>
      </w:r>
      <w:r w:rsidR="00A0089D">
        <w:rPr>
          <w:sz w:val="24"/>
          <w:szCs w:val="24"/>
        </w:rPr>
        <w:t>ефицита бюджета округа» следующие изменения</w:t>
      </w:r>
      <w:r>
        <w:rPr>
          <w:sz w:val="24"/>
          <w:szCs w:val="24"/>
        </w:rPr>
        <w:t>:</w:t>
      </w:r>
    </w:p>
    <w:p w14:paraId="6A4EC203" w14:textId="77777777" w:rsidR="005C1F6D" w:rsidRDefault="002A63A3" w:rsidP="005C1F6D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 1)</w:t>
      </w:r>
      <w:r w:rsidR="005C1F6D">
        <w:rPr>
          <w:rFonts w:eastAsia="Calibri"/>
        </w:rPr>
        <w:t xml:space="preserve"> дополнить таблицу Перечня главных администраторов до</w:t>
      </w:r>
      <w:r w:rsidR="00AD6E82">
        <w:rPr>
          <w:rFonts w:eastAsia="Calibri"/>
        </w:rPr>
        <w:t>ход</w:t>
      </w:r>
      <w:r w:rsidR="00B04647">
        <w:rPr>
          <w:rFonts w:eastAsia="Calibri"/>
        </w:rPr>
        <w:t>ов бюджета округа строками</w:t>
      </w:r>
      <w:r w:rsidR="005C1F6D">
        <w:rPr>
          <w:rFonts w:eastAsia="Calibri"/>
        </w:rPr>
        <w:t xml:space="preserve"> следующего содержания:  </w:t>
      </w:r>
    </w:p>
    <w:p w14:paraId="6A75D41D" w14:textId="77777777" w:rsidR="005C1F6D" w:rsidRDefault="005C1F6D" w:rsidP="005C1F6D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694"/>
        <w:gridCol w:w="5810"/>
      </w:tblGrid>
      <w:tr w:rsidR="005C1F6D" w14:paraId="508531EF" w14:textId="77777777" w:rsidTr="00452CB3">
        <w:trPr>
          <w:trHeight w:val="237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535F" w14:textId="77777777" w:rsidR="005C1F6D" w:rsidRDefault="005C1F6D">
            <w:pPr>
              <w:jc w:val="center"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407F" w14:textId="77777777" w:rsidR="005C1F6D" w:rsidRDefault="005C1F6D">
            <w:pPr>
              <w:tabs>
                <w:tab w:val="left" w:pos="4307"/>
              </w:tabs>
              <w:jc w:val="center"/>
            </w:pPr>
            <w:r>
              <w:rPr>
                <w:b/>
                <w:bCs/>
              </w:rPr>
              <w:t>Наименование главного администратора доходов бюджетам округа и</w:t>
            </w:r>
            <w:r>
              <w:rPr>
                <w:b/>
              </w:rPr>
              <w:t xml:space="preserve"> главного администратора источников финансирования дефицита бюджета округа</w:t>
            </w:r>
            <w:r>
              <w:rPr>
                <w:b/>
                <w:bCs/>
              </w:rPr>
              <w:t>, наименование кода вида (подвида) доходов</w:t>
            </w:r>
          </w:p>
        </w:tc>
      </w:tr>
      <w:tr w:rsidR="005C1F6D" w14:paraId="41AB0568" w14:textId="77777777" w:rsidTr="00452CB3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89F3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</w:t>
            </w:r>
          </w:p>
          <w:p w14:paraId="548DE6E0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администра</w:t>
            </w:r>
            <w:proofErr w:type="spellEnd"/>
            <w:r>
              <w:rPr>
                <w:b/>
                <w:bCs/>
              </w:rPr>
              <w:t>-</w:t>
            </w:r>
          </w:p>
          <w:p w14:paraId="62DEF0AC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тора</w:t>
            </w:r>
          </w:p>
          <w:p w14:paraId="1DC3D366" w14:textId="77777777" w:rsidR="005C1F6D" w:rsidRDefault="005C1F6D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AC85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вида (подвида)</w:t>
            </w:r>
          </w:p>
          <w:p w14:paraId="7B945A8E" w14:textId="77777777" w:rsidR="005C1F6D" w:rsidRDefault="005C1F6D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DB0" w14:textId="77777777" w:rsidR="005C1F6D" w:rsidRDefault="005C1F6D"/>
        </w:tc>
      </w:tr>
      <w:tr w:rsidR="00452CB3" w14:paraId="2400D7EA" w14:textId="77777777" w:rsidTr="004A3333">
        <w:trPr>
          <w:trHeight w:val="97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30A9" w14:textId="77777777" w:rsidR="00452CB3" w:rsidRDefault="00452CB3">
            <w:pPr>
              <w:tabs>
                <w:tab w:val="left" w:pos="1628"/>
              </w:tabs>
              <w:jc w:val="center"/>
            </w:pPr>
            <w: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A0FB" w14:textId="77777777" w:rsidR="00452CB3" w:rsidRDefault="00452CB3" w:rsidP="00644B59">
            <w:pPr>
              <w:tabs>
                <w:tab w:val="left" w:pos="1628"/>
              </w:tabs>
            </w:pPr>
            <w:r>
              <w:t>202 257</w:t>
            </w:r>
            <w:r w:rsidR="00BB0367">
              <w:t>50 14 0000 150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9201" w14:textId="77777777" w:rsidR="004A3333" w:rsidRDefault="004A3333" w:rsidP="004A333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Субсидии бюджетам муниципальных округов</w:t>
            </w:r>
          </w:p>
          <w:p w14:paraId="561FFB84" w14:textId="77777777" w:rsidR="00452CB3" w:rsidRDefault="004A3333" w:rsidP="004A333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на реализацию мероприятий по модернизации школьных систем образования</w:t>
            </w:r>
          </w:p>
        </w:tc>
      </w:tr>
      <w:tr w:rsidR="005C1F6D" w14:paraId="1E5F290E" w14:textId="77777777" w:rsidTr="004A3333">
        <w:trPr>
          <w:trHeight w:val="154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122" w14:textId="77777777" w:rsidR="005C1F6D" w:rsidRDefault="00644B59">
            <w:pPr>
              <w:tabs>
                <w:tab w:val="left" w:pos="1628"/>
              </w:tabs>
              <w:jc w:val="center"/>
            </w:pPr>
            <w:r>
              <w:lastRenderedPageBreak/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A6DF" w14:textId="77777777" w:rsidR="005C1F6D" w:rsidRDefault="00644B59" w:rsidP="00644B59">
            <w:pPr>
              <w:tabs>
                <w:tab w:val="left" w:pos="1628"/>
              </w:tabs>
            </w:pPr>
            <w:r>
              <w:t>202 25315</w:t>
            </w:r>
            <w:r w:rsidR="00452CB3">
              <w:t xml:space="preserve"> 1</w:t>
            </w:r>
            <w:r>
              <w:t>4 0000 150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AAD5" w14:textId="77777777" w:rsidR="00644B59" w:rsidRDefault="00644B59" w:rsidP="00644B5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Субсидии бюджетам муниципальных округов</w:t>
            </w:r>
          </w:p>
          <w:p w14:paraId="55905D7B" w14:textId="77777777" w:rsidR="005C1F6D" w:rsidRPr="00712370" w:rsidRDefault="00644B59" w:rsidP="00644B5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на осуществление капитального ремонта и</w:t>
            </w:r>
            <w:r w:rsidR="004A333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оснащение образовательных организаций</w:t>
            </w:r>
            <w:r w:rsidR="004A3333">
              <w:rPr>
                <w:rFonts w:ascii="TimesNewRomanPSMT" w:eastAsiaTheme="minorHAnsi" w:hAnsi="TimesNewRomanPSMT" w:cs="TimesNewRomanPSMT"/>
                <w:lang w:eastAsia="en-US"/>
              </w:rPr>
              <w:t xml:space="preserve">,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осуществляющих образовательную</w:t>
            </w:r>
            <w:r w:rsidR="004A333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деятельность по образовательным</w:t>
            </w:r>
            <w:r w:rsidR="004A333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программам дошкольного образования</w:t>
            </w:r>
          </w:p>
        </w:tc>
      </w:tr>
    </w:tbl>
    <w:p w14:paraId="43B6C1BF" w14:textId="77777777" w:rsidR="00EE404C" w:rsidRDefault="00452CB3" w:rsidP="00EE404C">
      <w:pPr>
        <w:tabs>
          <w:tab w:val="left" w:pos="526"/>
        </w:tabs>
        <w:ind w:left="8931"/>
        <w:jc w:val="center"/>
        <w:rPr>
          <w:rFonts w:eastAsia="Calibri"/>
        </w:rPr>
      </w:pPr>
      <w:r>
        <w:rPr>
          <w:rFonts w:eastAsia="Calibri"/>
        </w:rPr>
        <w:t xml:space="preserve">     </w:t>
      </w:r>
      <w:r w:rsidR="00A87820">
        <w:rPr>
          <w:rFonts w:eastAsia="Calibri"/>
        </w:rPr>
        <w:t xml:space="preserve">   »</w:t>
      </w:r>
      <w:r w:rsidR="00EE404C">
        <w:rPr>
          <w:rFonts w:eastAsia="Calibri"/>
        </w:rPr>
        <w:t>;</w:t>
      </w:r>
    </w:p>
    <w:p w14:paraId="5533970D" w14:textId="77777777" w:rsidR="00EE404C" w:rsidRDefault="00EE404C" w:rsidP="00EE404C">
      <w:pPr>
        <w:tabs>
          <w:tab w:val="left" w:pos="526"/>
        </w:tabs>
        <w:ind w:left="8931"/>
        <w:jc w:val="center"/>
        <w:rPr>
          <w:rFonts w:eastAsia="Calibri"/>
        </w:rPr>
      </w:pPr>
    </w:p>
    <w:p w14:paraId="37369F52" w14:textId="77777777" w:rsidR="00EE404C" w:rsidRDefault="002A63A3" w:rsidP="00EE404C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>2)</w:t>
      </w:r>
      <w:r w:rsidR="00EE404C">
        <w:rPr>
          <w:rFonts w:eastAsia="Calibri"/>
        </w:rPr>
        <w:t xml:space="preserve"> исключить в таблице Перечня главных администраторов доходов бюджета округа</w:t>
      </w:r>
      <w:r w:rsidR="00B04647">
        <w:rPr>
          <w:rFonts w:eastAsia="Calibri"/>
        </w:rPr>
        <w:t xml:space="preserve"> строки</w:t>
      </w:r>
      <w:r w:rsidR="00EE404C">
        <w:rPr>
          <w:rFonts w:eastAsia="Calibri"/>
        </w:rPr>
        <w:t xml:space="preserve"> следующего содержания:  </w:t>
      </w:r>
    </w:p>
    <w:p w14:paraId="458ADF36" w14:textId="77777777" w:rsidR="00EE404C" w:rsidRDefault="00EE404C" w:rsidP="00EE404C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694"/>
        <w:gridCol w:w="5810"/>
      </w:tblGrid>
      <w:tr w:rsidR="00EE404C" w14:paraId="124180D3" w14:textId="77777777" w:rsidTr="004A3333">
        <w:trPr>
          <w:trHeight w:val="237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CF6" w14:textId="77777777" w:rsidR="00EE404C" w:rsidRDefault="00EE404C" w:rsidP="001B10C8">
            <w:pPr>
              <w:jc w:val="center"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8B1D" w14:textId="77777777" w:rsidR="00EE404C" w:rsidRDefault="00EE404C" w:rsidP="001B10C8">
            <w:pPr>
              <w:tabs>
                <w:tab w:val="left" w:pos="4307"/>
              </w:tabs>
              <w:jc w:val="center"/>
            </w:pPr>
            <w:r>
              <w:rPr>
                <w:b/>
                <w:bCs/>
              </w:rPr>
              <w:t>Наименование главного администратора доходов бюджетам округа и</w:t>
            </w:r>
            <w:r>
              <w:rPr>
                <w:b/>
              </w:rPr>
              <w:t xml:space="preserve"> главного администратора источников финансирования дефицита бюджета округа</w:t>
            </w:r>
            <w:r>
              <w:rPr>
                <w:b/>
                <w:bCs/>
              </w:rPr>
              <w:t>, наименование кода вида (подвида) доходов</w:t>
            </w:r>
          </w:p>
        </w:tc>
      </w:tr>
      <w:tr w:rsidR="00EE404C" w14:paraId="3EA4E7CA" w14:textId="77777777" w:rsidTr="004A3333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D559" w14:textId="77777777" w:rsidR="00EE404C" w:rsidRDefault="00EE404C" w:rsidP="001B10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</w:t>
            </w:r>
          </w:p>
          <w:p w14:paraId="3FC0A819" w14:textId="77777777" w:rsidR="00EE404C" w:rsidRDefault="00EE404C" w:rsidP="001B10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администра</w:t>
            </w:r>
            <w:proofErr w:type="spellEnd"/>
            <w:r>
              <w:rPr>
                <w:b/>
                <w:bCs/>
              </w:rPr>
              <w:t>-</w:t>
            </w:r>
          </w:p>
          <w:p w14:paraId="5CFDAF28" w14:textId="77777777" w:rsidR="00EE404C" w:rsidRDefault="00EE404C" w:rsidP="001B10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тора</w:t>
            </w:r>
          </w:p>
          <w:p w14:paraId="0B3576D6" w14:textId="77777777" w:rsidR="00EE404C" w:rsidRDefault="00EE404C" w:rsidP="001B10C8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B966" w14:textId="77777777" w:rsidR="00EE404C" w:rsidRDefault="00EE404C" w:rsidP="00B04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вида (подвида)</w:t>
            </w:r>
          </w:p>
          <w:p w14:paraId="720146BB" w14:textId="77777777" w:rsidR="00EE404C" w:rsidRDefault="00EE404C" w:rsidP="001B10C8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7B7B" w14:textId="77777777" w:rsidR="00EE404C" w:rsidRDefault="00EE404C" w:rsidP="001B10C8"/>
        </w:tc>
      </w:tr>
      <w:tr w:rsidR="00B04647" w:rsidRPr="0011074E" w14:paraId="7868A19B" w14:textId="77777777" w:rsidTr="004A3333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FC82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04647">
              <w:rPr>
                <w:b/>
                <w:bCs/>
              </w:rPr>
              <w:t>048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60C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6A4" w14:textId="77777777" w:rsidR="00B04647" w:rsidRPr="0011074E" w:rsidRDefault="00B04647" w:rsidP="00A6483B">
            <w:pPr>
              <w:rPr>
                <w:color w:val="000000"/>
              </w:rPr>
            </w:pPr>
            <w:r w:rsidRPr="0011074E">
              <w:rPr>
                <w:b/>
                <w:bCs/>
              </w:rPr>
              <w:t>Уральское межрегиональное управление Федеральной службы по надзору в сфере природопользования</w:t>
            </w:r>
          </w:p>
        </w:tc>
      </w:tr>
      <w:tr w:rsidR="00B04647" w:rsidRPr="0011074E" w14:paraId="5004FE27" w14:textId="77777777" w:rsidTr="004A3333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A1B4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4647">
              <w:rPr>
                <w:bCs/>
              </w:rPr>
              <w:t>048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3E5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4647">
              <w:rPr>
                <w:bCs/>
              </w:rPr>
              <w:t>1 12 01010 01 0000 120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FB8D" w14:textId="77777777" w:rsidR="00B04647" w:rsidRPr="0011074E" w:rsidRDefault="00B04647" w:rsidP="00A6483B">
            <w:pPr>
              <w:rPr>
                <w:color w:val="000000"/>
              </w:rPr>
            </w:pPr>
            <w:r w:rsidRPr="0011074E">
              <w:t>Плата за выбросы загрязняющих веществ в атмосферный воздух стационарными объектами</w:t>
            </w:r>
          </w:p>
        </w:tc>
      </w:tr>
      <w:tr w:rsidR="00B04647" w:rsidRPr="0011074E" w14:paraId="264B1788" w14:textId="77777777" w:rsidTr="004A3333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544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4647">
              <w:rPr>
                <w:bCs/>
              </w:rPr>
              <w:t>048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FF82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4647">
              <w:rPr>
                <w:bCs/>
              </w:rPr>
              <w:t>1 12 01041 01 0000 120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F717" w14:textId="77777777" w:rsidR="00B04647" w:rsidRPr="0011074E" w:rsidRDefault="00B04647" w:rsidP="00A6483B">
            <w:pPr>
              <w:rPr>
                <w:color w:val="000000"/>
              </w:rPr>
            </w:pPr>
            <w:r w:rsidRPr="0011074E">
              <w:t>Плата за размещение отходов производства</w:t>
            </w:r>
          </w:p>
        </w:tc>
      </w:tr>
      <w:tr w:rsidR="00B04647" w:rsidRPr="0011074E" w14:paraId="67B1B2F5" w14:textId="77777777" w:rsidTr="004A3333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7EA5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4647">
              <w:rPr>
                <w:bCs/>
              </w:rPr>
              <w:t>048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494D" w14:textId="77777777" w:rsidR="00B04647" w:rsidRPr="00B04647" w:rsidRDefault="00B04647" w:rsidP="00B046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4647">
              <w:rPr>
                <w:bCs/>
              </w:rPr>
              <w:t>1 12 01042 01 0000 120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BBC8" w14:textId="77777777" w:rsidR="00B04647" w:rsidRPr="0011074E" w:rsidRDefault="00B04647" w:rsidP="00A6483B">
            <w:pPr>
              <w:rPr>
                <w:color w:val="000000"/>
              </w:rPr>
            </w:pPr>
            <w:r w:rsidRPr="0011074E">
              <w:t>Плата за размещение твердых коммунальных отходов</w:t>
            </w:r>
          </w:p>
        </w:tc>
      </w:tr>
    </w:tbl>
    <w:p w14:paraId="272B4FE6" w14:textId="77777777" w:rsidR="005C1F6D" w:rsidRDefault="00B04647" w:rsidP="00EE404C">
      <w:pPr>
        <w:tabs>
          <w:tab w:val="left" w:pos="526"/>
        </w:tabs>
        <w:ind w:left="8931"/>
        <w:jc w:val="center"/>
        <w:rPr>
          <w:rFonts w:eastAsia="Calibri"/>
        </w:rPr>
      </w:pPr>
      <w:r>
        <w:rPr>
          <w:rFonts w:eastAsia="Calibri"/>
        </w:rPr>
        <w:t xml:space="preserve"> </w:t>
      </w:r>
      <w:r w:rsidR="00EE404C">
        <w:rPr>
          <w:rFonts w:eastAsia="Calibri"/>
        </w:rPr>
        <w:t>»</w:t>
      </w:r>
      <w:r>
        <w:rPr>
          <w:rFonts w:eastAsia="Calibri"/>
        </w:rPr>
        <w:t>.</w:t>
      </w:r>
      <w:r w:rsidR="005C1F6D">
        <w:rPr>
          <w:rFonts w:eastAsia="Calibri"/>
        </w:rPr>
        <w:t xml:space="preserve">                                                                                                                                                     </w:t>
      </w:r>
    </w:p>
    <w:p w14:paraId="43A4FDCD" w14:textId="77777777" w:rsidR="005C1F6D" w:rsidRDefault="005C1F6D" w:rsidP="005C1F6D">
      <w:pPr>
        <w:pStyle w:val="Default"/>
        <w:tabs>
          <w:tab w:val="left" w:pos="567"/>
        </w:tabs>
        <w:ind w:firstLine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D6E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2.</w:t>
      </w:r>
      <w:r w:rsidR="002A63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Обнародовать настоящее постановление в местах обнародования муниципальных нормативных правовых актов.</w:t>
      </w:r>
    </w:p>
    <w:p w14:paraId="2BA973BF" w14:textId="77777777" w:rsidR="005C1F6D" w:rsidRDefault="005C1F6D" w:rsidP="005C1F6D">
      <w:pPr>
        <w:pStyle w:val="Default"/>
        <w:tabs>
          <w:tab w:val="left" w:pos="567"/>
        </w:tabs>
        <w:ind w:firstLine="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3. Настоящее постановление вступает в силу после его официального обнародования и применяется к правоотношен</w:t>
      </w:r>
      <w:r w:rsidR="00B04647">
        <w:rPr>
          <w:rFonts w:ascii="Times New Roman" w:hAnsi="Times New Roman" w:cs="Times New Roman"/>
        </w:rPr>
        <w:t>иям, возникающим с 1 января 2026</w:t>
      </w:r>
      <w:r>
        <w:rPr>
          <w:rFonts w:ascii="Times New Roman" w:hAnsi="Times New Roman" w:cs="Times New Roman"/>
        </w:rPr>
        <w:t xml:space="preserve"> года.</w:t>
      </w:r>
      <w:r>
        <w:rPr>
          <w:rFonts w:ascii="Times New Roman" w:hAnsi="Times New Roman"/>
        </w:rPr>
        <w:t xml:space="preserve">   </w:t>
      </w:r>
    </w:p>
    <w:p w14:paraId="1ECA2ACC" w14:textId="77777777" w:rsidR="005C1F6D" w:rsidRDefault="005C1F6D" w:rsidP="005C1F6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</w:t>
      </w:r>
      <w:r w:rsidR="002A6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выполнением настоящего постановления возложить на </w:t>
      </w:r>
      <w:r w:rsidR="007717B8">
        <w:rPr>
          <w:rFonts w:ascii="Times New Roman" w:hAnsi="Times New Roman"/>
          <w:sz w:val="24"/>
          <w:szCs w:val="24"/>
        </w:rPr>
        <w:t xml:space="preserve">заместителя Главы Лебяжьевского муниципального округа, </w:t>
      </w:r>
      <w:r w:rsidR="00B04647">
        <w:rPr>
          <w:rFonts w:ascii="Times New Roman" w:hAnsi="Times New Roman"/>
          <w:sz w:val="24"/>
          <w:szCs w:val="24"/>
        </w:rPr>
        <w:t>начальника ф</w:t>
      </w:r>
      <w:r>
        <w:rPr>
          <w:rFonts w:ascii="Times New Roman" w:hAnsi="Times New Roman"/>
          <w:sz w:val="24"/>
          <w:szCs w:val="24"/>
        </w:rPr>
        <w:t>инансового отдела.</w:t>
      </w:r>
    </w:p>
    <w:p w14:paraId="4CD8A7BB" w14:textId="77777777" w:rsidR="005C1F6D" w:rsidRDefault="005C1F6D" w:rsidP="005C1F6D">
      <w:pPr>
        <w:pStyle w:val="a4"/>
        <w:jc w:val="both"/>
        <w:rPr>
          <w:sz w:val="26"/>
          <w:szCs w:val="26"/>
        </w:rPr>
      </w:pPr>
    </w:p>
    <w:p w14:paraId="2EA77FAF" w14:textId="77777777" w:rsidR="00FB71C8" w:rsidRDefault="00FB71C8" w:rsidP="005C1F6D">
      <w:pPr>
        <w:pStyle w:val="a4"/>
        <w:jc w:val="both"/>
        <w:rPr>
          <w:sz w:val="26"/>
          <w:szCs w:val="26"/>
        </w:rPr>
      </w:pPr>
    </w:p>
    <w:p w14:paraId="6ADA32BD" w14:textId="77777777" w:rsidR="005C1F6D" w:rsidRDefault="005C1F6D" w:rsidP="005C1F6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FD97884" w14:textId="77777777" w:rsidR="00B04647" w:rsidRDefault="00B04647" w:rsidP="00B04647">
      <w:r>
        <w:t xml:space="preserve">Глава Лебяжьевского муниципального округа                       </w:t>
      </w:r>
      <w:r w:rsidR="004A3333">
        <w:t xml:space="preserve">    </w:t>
      </w:r>
      <w:r>
        <w:t xml:space="preserve">               </w:t>
      </w:r>
      <w:r w:rsidR="00857007">
        <w:t xml:space="preserve">    </w:t>
      </w:r>
      <w:r>
        <w:t xml:space="preserve">           А.А.Михайлов                           </w:t>
      </w:r>
    </w:p>
    <w:p w14:paraId="64F14388" w14:textId="77777777" w:rsidR="00B04647" w:rsidRDefault="00B04647" w:rsidP="00B04647">
      <w:r>
        <w:t>Курганской области</w:t>
      </w:r>
    </w:p>
    <w:p w14:paraId="16B8A19C" w14:textId="77777777" w:rsidR="00B04647" w:rsidRDefault="00B04647" w:rsidP="00B04647"/>
    <w:p w14:paraId="441C920C" w14:textId="77777777" w:rsidR="00B04647" w:rsidRDefault="00B04647" w:rsidP="00B04647">
      <w:pPr>
        <w:rPr>
          <w:rStyle w:val="2"/>
          <w:i/>
          <w:iCs/>
          <w:color w:val="000000"/>
          <w:lang w:eastAsia="ar-SA"/>
        </w:rPr>
      </w:pPr>
    </w:p>
    <w:p w14:paraId="171BAEED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128866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0783C7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573126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056010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4316CE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CEEA99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0AE2E6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AF5A03" w14:textId="77777777" w:rsidR="004A3333" w:rsidRDefault="004A3333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1CF15F" w14:textId="77777777" w:rsidR="005C1F6D" w:rsidRDefault="005C1F6D" w:rsidP="007717B8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</w:p>
    <w:p w14:paraId="0664798B" w14:textId="77777777" w:rsidR="005C1F6D" w:rsidRDefault="005C1F6D" w:rsidP="005C1F6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Рогина</w:t>
      </w:r>
      <w:proofErr w:type="spellEnd"/>
      <w:r>
        <w:rPr>
          <w:sz w:val="16"/>
          <w:szCs w:val="16"/>
        </w:rPr>
        <w:t xml:space="preserve"> Л.А.</w:t>
      </w:r>
    </w:p>
    <w:p w14:paraId="57978D88" w14:textId="77777777" w:rsidR="005C1F6D" w:rsidRDefault="005C1F6D" w:rsidP="005C1F6D">
      <w:pPr>
        <w:jc w:val="both"/>
      </w:pPr>
      <w:r>
        <w:rPr>
          <w:sz w:val="16"/>
          <w:szCs w:val="16"/>
        </w:rPr>
        <w:t>Тел. 8 35(237) 9-06-95</w:t>
      </w:r>
    </w:p>
    <w:p w14:paraId="6C1D718C" w14:textId="77777777" w:rsidR="00DF4A7D" w:rsidRDefault="00DF4A7D"/>
    <w:sectPr w:rsidR="00DF4A7D" w:rsidSect="0085700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6D"/>
    <w:rsid w:val="00071819"/>
    <w:rsid w:val="000A04D1"/>
    <w:rsid w:val="000C1D5B"/>
    <w:rsid w:val="002626DF"/>
    <w:rsid w:val="0027643C"/>
    <w:rsid w:val="002A63A3"/>
    <w:rsid w:val="003B4232"/>
    <w:rsid w:val="003C4B12"/>
    <w:rsid w:val="00433BC9"/>
    <w:rsid w:val="00452CB3"/>
    <w:rsid w:val="00471767"/>
    <w:rsid w:val="004905DA"/>
    <w:rsid w:val="004A3333"/>
    <w:rsid w:val="004A6A36"/>
    <w:rsid w:val="00586653"/>
    <w:rsid w:val="005C1F6D"/>
    <w:rsid w:val="005E7FC2"/>
    <w:rsid w:val="00644B59"/>
    <w:rsid w:val="00712370"/>
    <w:rsid w:val="007717B8"/>
    <w:rsid w:val="00795A2B"/>
    <w:rsid w:val="007B213B"/>
    <w:rsid w:val="007C0321"/>
    <w:rsid w:val="00833E9A"/>
    <w:rsid w:val="00857007"/>
    <w:rsid w:val="008A73DD"/>
    <w:rsid w:val="008C1401"/>
    <w:rsid w:val="008E2A7B"/>
    <w:rsid w:val="00946A8E"/>
    <w:rsid w:val="009A121C"/>
    <w:rsid w:val="00A0089D"/>
    <w:rsid w:val="00A87820"/>
    <w:rsid w:val="00AD6E82"/>
    <w:rsid w:val="00B0121A"/>
    <w:rsid w:val="00B04647"/>
    <w:rsid w:val="00B11E83"/>
    <w:rsid w:val="00B5218A"/>
    <w:rsid w:val="00BB0367"/>
    <w:rsid w:val="00BC73DE"/>
    <w:rsid w:val="00C46474"/>
    <w:rsid w:val="00D8472B"/>
    <w:rsid w:val="00D932BE"/>
    <w:rsid w:val="00DF4A7D"/>
    <w:rsid w:val="00E06621"/>
    <w:rsid w:val="00E8098E"/>
    <w:rsid w:val="00EE404C"/>
    <w:rsid w:val="00F02E15"/>
    <w:rsid w:val="00F3119B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19C8"/>
  <w15:docId w15:val="{A8BA3826-CEA4-4731-831E-A55FE148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5C1F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C1F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1F6D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5C1F6D"/>
    <w:pPr>
      <w:jc w:val="center"/>
    </w:pPr>
    <w:rPr>
      <w:rFonts w:ascii="Arial" w:hAnsi="Arial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5C1F6D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5C1F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5C1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5C1F6D"/>
  </w:style>
  <w:style w:type="paragraph" w:styleId="a6">
    <w:name w:val="Balloon Text"/>
    <w:basedOn w:val="a"/>
    <w:link w:val="a7"/>
    <w:uiPriority w:val="99"/>
    <w:semiHidden/>
    <w:unhideWhenUsed/>
    <w:rsid w:val="005C1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шрифт абзаца2"/>
    <w:rsid w:val="00B0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</cp:lastModifiedBy>
  <cp:revision>39</cp:revision>
  <cp:lastPrinted>2026-02-02T05:58:00Z</cp:lastPrinted>
  <dcterms:created xsi:type="dcterms:W3CDTF">2024-12-09T10:39:00Z</dcterms:created>
  <dcterms:modified xsi:type="dcterms:W3CDTF">2026-02-04T10:11:00Z</dcterms:modified>
</cp:coreProperties>
</file>